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61" w:rsidRDefault="00392461" w:rsidP="00592E00">
      <w:pPr>
        <w:pStyle w:val="Betarp"/>
        <w:jc w:val="center"/>
        <w:rPr>
          <w:b/>
          <w:noProof/>
          <w:sz w:val="28"/>
          <w:szCs w:val="28"/>
          <w:lang w:eastAsia="lt-LT"/>
        </w:rPr>
      </w:pPr>
    </w:p>
    <w:p w:rsidR="00392461" w:rsidRDefault="00392461" w:rsidP="00592E00">
      <w:pPr>
        <w:pStyle w:val="Betarp"/>
        <w:jc w:val="center"/>
        <w:rPr>
          <w:b/>
          <w:noProof/>
          <w:sz w:val="28"/>
          <w:szCs w:val="28"/>
          <w:lang w:eastAsia="lt-LT"/>
        </w:rPr>
      </w:pPr>
    </w:p>
    <w:p w:rsidR="000B7E55" w:rsidRPr="000B7E55" w:rsidRDefault="000B7E55" w:rsidP="000B7E55">
      <w:pPr>
        <w:pStyle w:val="Betarp"/>
        <w:jc w:val="center"/>
        <w:rPr>
          <w:rFonts w:eastAsia="Calibri" w:cs="Times New Roman"/>
          <w:b/>
          <w:bCs/>
          <w:sz w:val="28"/>
          <w:szCs w:val="28"/>
          <w:lang w:val="en-GB"/>
        </w:rPr>
      </w:pPr>
      <w:r w:rsidRPr="000B7E55">
        <w:rPr>
          <w:rFonts w:eastAsia="Calibri" w:cs="Times New Roman"/>
          <w:b/>
          <w:bCs/>
          <w:sz w:val="28"/>
          <w:szCs w:val="28"/>
          <w:lang w:val="en-GB"/>
        </w:rPr>
        <w:t>A foreigner holding a temporary residence permit issued as a highly skilled worker (1) wishes to change their employer within 12 months from the date when their residence permit was first issued; or (2) have ended their employment contract or have lost their job within 12 months from the date when their residence permit was first issued, and they intend to take up a highly skilled job with another employer within 6 months after their employment contract was ended.</w:t>
      </w:r>
    </w:p>
    <w:p w:rsidR="00FF58D4" w:rsidRPr="00FF58D4" w:rsidRDefault="000B7E55" w:rsidP="000B7E55">
      <w:pPr>
        <w:pStyle w:val="Betarp"/>
        <w:jc w:val="center"/>
        <w:rPr>
          <w:rFonts w:eastAsia="Calibri" w:cs="Times New Roman"/>
          <w:b/>
          <w:bCs/>
          <w:sz w:val="28"/>
          <w:szCs w:val="28"/>
          <w:lang w:val="en-GB"/>
        </w:rPr>
      </w:pPr>
      <w:r w:rsidRPr="000B7E55">
        <w:rPr>
          <w:rFonts w:eastAsia="Calibri" w:cs="Times New Roman"/>
          <w:b/>
          <w:bCs/>
          <w:sz w:val="28"/>
          <w:szCs w:val="28"/>
          <w:lang w:val="en-GB"/>
        </w:rPr>
        <w:t xml:space="preserve"> </w:t>
      </w:r>
      <w:r w:rsidR="00FF58D4" w:rsidRPr="00FF58D4">
        <w:rPr>
          <w:rFonts w:eastAsia="Calibri" w:cs="Times New Roman"/>
          <w:b/>
          <w:bCs/>
          <w:sz w:val="28"/>
          <w:szCs w:val="28"/>
          <w:lang w:val="en-GB"/>
        </w:rPr>
        <w:t>(Article 44</w:t>
      </w:r>
      <w:r w:rsidR="00FF58D4" w:rsidRPr="00FF58D4">
        <w:rPr>
          <w:rFonts w:eastAsia="Calibri" w:cs="Times New Roman"/>
          <w:b/>
          <w:bCs/>
          <w:sz w:val="28"/>
          <w:szCs w:val="28"/>
          <w:vertAlign w:val="superscript"/>
          <w:lang w:val="en-GB"/>
        </w:rPr>
        <w:t>1</w:t>
      </w:r>
      <w:r w:rsidR="00FF58D4" w:rsidRPr="00FF58D4">
        <w:rPr>
          <w:rFonts w:eastAsia="Calibri" w:cs="Times New Roman"/>
          <w:b/>
          <w:bCs/>
          <w:sz w:val="28"/>
          <w:szCs w:val="28"/>
          <w:lang w:val="en-GB"/>
        </w:rPr>
        <w:t>(5) of the Law of the Republic of Lithuania on the Legal Status of Foreigners)</w:t>
      </w:r>
    </w:p>
    <w:p w:rsidR="00204BF2" w:rsidRPr="00F57053" w:rsidRDefault="00204BF2" w:rsidP="0067225C">
      <w:pPr>
        <w:pStyle w:val="Betarp"/>
        <w:rPr>
          <w:b/>
          <w:sz w:val="32"/>
          <w:szCs w:val="32"/>
          <w:lang w:val="en-GB"/>
        </w:rPr>
      </w:pPr>
    </w:p>
    <w:p w:rsidR="00FF58D4" w:rsidRPr="001977CA" w:rsidRDefault="007D6BBC" w:rsidP="00FF58D4">
      <w:pPr>
        <w:pStyle w:val="Betarp"/>
        <w:jc w:val="both"/>
        <w:rPr>
          <w:rFonts w:eastAsia="Times New Roman" w:cs="Times New Roman"/>
          <w:b/>
          <w:i/>
          <w:szCs w:val="24"/>
          <w:u w:val="single"/>
          <w:lang w:val="en-GB"/>
        </w:rPr>
      </w:pPr>
      <w:r w:rsidRPr="007D6BBC">
        <w:rPr>
          <w:b/>
          <w:szCs w:val="24"/>
          <w:lang w:val="en-GB"/>
        </w:rPr>
        <w:t xml:space="preserve"> </w:t>
      </w:r>
      <w:hyperlink r:id="rId7" w:history="1">
        <w:r w:rsidR="00FF58D4" w:rsidRPr="001977CA">
          <w:rPr>
            <w:szCs w:val="24"/>
            <w:lang w:val="en-GB"/>
          </w:rPr>
          <w:t xml:space="preserve"> </w:t>
        </w:r>
        <w:r w:rsidR="00FF58D4" w:rsidRPr="001977CA">
          <w:rPr>
            <w:rFonts w:eastAsia="Times New Roman"/>
            <w:b/>
            <w:szCs w:val="24"/>
            <w:lang w:val="en-GB" w:eastAsia="lt-LT"/>
          </w:rPr>
          <w:t>The determined form</w:t>
        </w:r>
        <w:r w:rsidR="00FF58D4" w:rsidRPr="004756ED">
          <w:rPr>
            <w:rFonts w:eastAsia="Times New Roman"/>
            <w:b/>
            <w:szCs w:val="24"/>
            <w:lang w:val="en-GB" w:eastAsia="lt-LT"/>
          </w:rPr>
          <w:t xml:space="preserve"> </w:t>
        </w:r>
        <w:r w:rsidR="00FF58D4" w:rsidRPr="004756ED">
          <w:rPr>
            <w:rFonts w:eastAsia="Times New Roman" w:cs="Times New Roman"/>
            <w:b/>
            <w:sz w:val="22"/>
            <w:lang w:val="en-GB"/>
          </w:rPr>
          <w:t>application</w:t>
        </w:r>
        <w:hyperlink r:id="rId8" w:tgtFrame="_blank" w:history="1">
          <w:r w:rsidR="00FF58D4" w:rsidRPr="001977CA">
            <w:rPr>
              <w:rFonts w:eastAsia="Calibri"/>
              <w:b/>
              <w:bCs/>
              <w:color w:val="000000"/>
              <w:szCs w:val="24"/>
              <w:lang w:val="en-GB" w:eastAsia="lt-LT"/>
            </w:rPr>
            <w:t xml:space="preserve"> to change the employer or the job </w:t>
          </w:r>
          <w:bookmarkStart w:id="0" w:name="_Hlk69109064"/>
          <w:r w:rsidR="00FF58D4" w:rsidRPr="001977CA">
            <w:rPr>
              <w:rFonts w:eastAsia="Calibri"/>
              <w:b/>
              <w:bCs/>
              <w:color w:val="000000"/>
              <w:szCs w:val="24"/>
              <w:lang w:val="en-GB" w:eastAsia="lt-LT"/>
            </w:rPr>
            <w:t xml:space="preserve">title at the same </w:t>
          </w:r>
          <w:bookmarkEnd w:id="0"/>
          <w:r w:rsidR="00FF58D4" w:rsidRPr="001977CA">
            <w:rPr>
              <w:rFonts w:eastAsia="Calibri"/>
              <w:b/>
              <w:bCs/>
              <w:color w:val="000000"/>
              <w:szCs w:val="24"/>
              <w:lang w:val="en-GB" w:eastAsia="lt-LT"/>
            </w:rPr>
            <w:t>employer</w:t>
          </w:r>
        </w:hyperlink>
        <w:r w:rsidR="00FF58D4" w:rsidRPr="001977CA">
          <w:rPr>
            <w:rFonts w:eastAsia="Calibri"/>
            <w:b/>
            <w:bCs/>
            <w:color w:val="000000"/>
            <w:szCs w:val="24"/>
            <w:lang w:val="en-GB" w:eastAsia="lt-LT"/>
          </w:rPr>
          <w:t>.</w:t>
        </w:r>
      </w:hyperlink>
      <w:r w:rsidR="00FF58D4" w:rsidRPr="001977CA">
        <w:rPr>
          <w:rFonts w:eastAsia="Times New Roman"/>
          <w:b/>
          <w:szCs w:val="24"/>
          <w:lang w:val="en-GB" w:eastAsia="lt-LT"/>
        </w:rPr>
        <w:t xml:space="preserve"> </w:t>
      </w:r>
      <w:r w:rsidR="00FF58D4" w:rsidRPr="001977CA">
        <w:rPr>
          <w:i/>
          <w:szCs w:val="24"/>
          <w:lang w:val="en-GB"/>
        </w:rPr>
        <w:t xml:space="preserve">The </w:t>
      </w:r>
      <w:r w:rsidR="00FF58D4" w:rsidRPr="004756ED">
        <w:rPr>
          <w:i/>
          <w:sz w:val="22"/>
          <w:lang w:val="en-GB"/>
        </w:rPr>
        <w:t>application</w:t>
      </w:r>
      <w:r w:rsidR="00FF58D4" w:rsidRPr="001977CA">
        <w:rPr>
          <w:i/>
          <w:szCs w:val="24"/>
          <w:lang w:val="en-GB"/>
        </w:rPr>
        <w:t xml:space="preserve"> is submitted via the Lithuanian Migration Information System (MIGRIS);</w:t>
      </w:r>
    </w:p>
    <w:p w:rsidR="007D6BBC" w:rsidRPr="007D6BBC" w:rsidRDefault="007D6BBC" w:rsidP="007D6BBC">
      <w:pPr>
        <w:pStyle w:val="Betarp"/>
        <w:jc w:val="both"/>
        <w:rPr>
          <w:b/>
          <w:szCs w:val="24"/>
          <w:lang w:val="en-GB"/>
        </w:rPr>
      </w:pPr>
    </w:p>
    <w:p w:rsidR="007D6BBC" w:rsidRPr="007D6BBC" w:rsidRDefault="007D6BBC" w:rsidP="007D6BBC">
      <w:pPr>
        <w:pStyle w:val="Betarp"/>
        <w:jc w:val="both"/>
        <w:rPr>
          <w:rFonts w:eastAsia="Times New Roman" w:cs="Times New Roman"/>
          <w:b/>
          <w:color w:val="1C1C1C"/>
          <w:szCs w:val="24"/>
          <w:lang w:val="en-GB"/>
        </w:rPr>
      </w:pPr>
      <w:r w:rsidRPr="007D6BBC">
        <w:rPr>
          <w:b/>
          <w:szCs w:val="24"/>
          <w:lang w:val="en-GB"/>
        </w:rPr>
        <w:t></w:t>
      </w:r>
      <w:r w:rsidRPr="007D6BBC">
        <w:rPr>
          <w:rFonts w:cs="Times New Roman"/>
          <w:b/>
          <w:color w:val="000000"/>
          <w:szCs w:val="24"/>
          <w:lang w:val="en-GB"/>
        </w:rPr>
        <w:t xml:space="preserve"> </w:t>
      </w:r>
      <w:r w:rsidRPr="007D6BBC">
        <w:rPr>
          <w:b/>
          <w:color w:val="1C1C1C"/>
          <w:szCs w:val="24"/>
          <w:lang w:val="en-GB"/>
        </w:rPr>
        <w:t>Valid travel document (passport);</w:t>
      </w:r>
    </w:p>
    <w:p w:rsidR="007D6BBC" w:rsidRPr="007D6BBC" w:rsidRDefault="007D6BBC" w:rsidP="007D6BBC">
      <w:pPr>
        <w:pStyle w:val="Betarp"/>
        <w:jc w:val="both"/>
        <w:rPr>
          <w:rFonts w:eastAsia="Times New Roman" w:cs="Times New Roman"/>
          <w:b/>
          <w:color w:val="1C1C1C"/>
          <w:szCs w:val="24"/>
          <w:lang w:val="en-GB" w:eastAsia="lt-LT"/>
        </w:rPr>
      </w:pPr>
    </w:p>
    <w:p w:rsidR="007D6BBC" w:rsidRPr="007D6BBC" w:rsidRDefault="007D6BBC" w:rsidP="007D6BBC">
      <w:pPr>
        <w:pStyle w:val="Betarp"/>
        <w:jc w:val="both"/>
        <w:rPr>
          <w:rFonts w:eastAsia="Times New Roman" w:cs="Times New Roman"/>
          <w:bCs/>
          <w:color w:val="1C1C1C"/>
          <w:szCs w:val="24"/>
          <w:lang w:val="en-GB" w:eastAsia="lt-LT"/>
        </w:rPr>
      </w:pPr>
      <w:r w:rsidRPr="007D6BBC">
        <w:rPr>
          <w:rFonts w:eastAsia="Times New Roman" w:cs="Times New Roman"/>
          <w:b/>
          <w:color w:val="1C1C1C"/>
          <w:szCs w:val="24"/>
          <w:lang w:val="en-GB" w:eastAsia="lt-LT"/>
        </w:rPr>
        <w:t xml:space="preserve"> </w:t>
      </w:r>
      <w:r w:rsidR="00FF58D4">
        <w:rPr>
          <w:rFonts w:eastAsia="Times New Roman" w:cs="Times New Roman"/>
          <w:b/>
          <w:bCs/>
          <w:color w:val="1C1C1C"/>
          <w:szCs w:val="24"/>
          <w:lang w:val="en-GB" w:eastAsia="lt-LT"/>
        </w:rPr>
        <w:t>T</w:t>
      </w:r>
      <w:r w:rsidR="00FF58D4" w:rsidRPr="00FF58D4">
        <w:rPr>
          <w:rFonts w:eastAsia="Times New Roman" w:cs="Times New Roman"/>
          <w:b/>
          <w:bCs/>
          <w:color w:val="1C1C1C"/>
          <w:szCs w:val="24"/>
          <w:lang w:val="en-GB" w:eastAsia="lt-LT"/>
        </w:rPr>
        <w:t xml:space="preserve">he number of the mediation letter submitted by the new employer via the Lithuanian Migration Information System (MIGRIS) </w:t>
      </w:r>
      <w:r w:rsidR="00FF58D4" w:rsidRPr="00FF58D4">
        <w:rPr>
          <w:rFonts w:eastAsia="Times New Roman" w:cs="Times New Roman"/>
          <w:b/>
          <w:bCs/>
          <w:i/>
          <w:color w:val="1C1C1C"/>
          <w:szCs w:val="24"/>
          <w:lang w:val="en-GB" w:eastAsia="lt-LT"/>
        </w:rPr>
        <w:t>(to be indicated in MIGRIS when filling in the application for permission to change employer)</w:t>
      </w:r>
      <w:r w:rsidR="00FF58D4" w:rsidRPr="00FF58D4">
        <w:rPr>
          <w:rFonts w:eastAsia="Times New Roman" w:cs="Times New Roman"/>
          <w:b/>
          <w:bCs/>
          <w:color w:val="1C1C1C"/>
          <w:szCs w:val="24"/>
          <w:lang w:val="en-GB" w:eastAsia="lt-LT"/>
        </w:rPr>
        <w:t>.</w:t>
      </w:r>
    </w:p>
    <w:p w:rsidR="00FF58D4" w:rsidRDefault="007D6BBC" w:rsidP="007D6BBC">
      <w:pPr>
        <w:pStyle w:val="Betarp"/>
        <w:jc w:val="both"/>
        <w:rPr>
          <w:rFonts w:eastAsia="Times New Roman" w:cs="Times New Roman"/>
          <w:bCs/>
          <w:color w:val="1C1C1C"/>
          <w:szCs w:val="24"/>
          <w:lang w:val="en-GB" w:eastAsia="lt-LT"/>
        </w:rPr>
      </w:pPr>
      <w:r w:rsidRPr="007D6BBC">
        <w:rPr>
          <w:rFonts w:eastAsia="Times New Roman" w:cs="Times New Roman"/>
          <w:bCs/>
          <w:color w:val="1C1C1C"/>
          <w:szCs w:val="24"/>
          <w:lang w:val="en-GB" w:eastAsia="lt-LT"/>
        </w:rPr>
        <w:t> </w:t>
      </w:r>
    </w:p>
    <w:p w:rsidR="00FF58D4" w:rsidRPr="00FF58D4" w:rsidRDefault="00FF58D4" w:rsidP="007D6BBC">
      <w:pPr>
        <w:pStyle w:val="Betarp"/>
        <w:jc w:val="both"/>
        <w:rPr>
          <w:rFonts w:eastAsia="Times New Roman" w:cs="Times New Roman"/>
          <w:b/>
          <w:bCs/>
          <w:color w:val="1C1C1C"/>
          <w:szCs w:val="24"/>
          <w:lang w:val="en-GB" w:eastAsia="lt-LT"/>
        </w:rPr>
      </w:pPr>
      <w:r w:rsidRPr="00FF58D4">
        <w:rPr>
          <w:rFonts w:eastAsia="Times New Roman" w:cs="Times New Roman"/>
          <w:b/>
          <w:bCs/>
          <w:color w:val="1C1C1C"/>
          <w:szCs w:val="24"/>
          <w:lang w:val="en-GB" w:eastAsia="lt-LT"/>
        </w:rPr>
        <w:t>If a multi-employer contract is to be concluded, the first employer submits the mediation letter via MIGRIS, indicating the other employers.</w:t>
      </w:r>
    </w:p>
    <w:p w:rsidR="00FF58D4" w:rsidRPr="00FF58D4" w:rsidRDefault="00FF58D4" w:rsidP="007D6BBC">
      <w:pPr>
        <w:pStyle w:val="Betarp"/>
        <w:jc w:val="both"/>
        <w:rPr>
          <w:rFonts w:eastAsia="Times New Roman" w:cs="Times New Roman"/>
          <w:b/>
          <w:bCs/>
          <w:color w:val="1C1C1C"/>
          <w:szCs w:val="24"/>
          <w:lang w:val="en-GB" w:eastAsia="lt-LT"/>
        </w:rPr>
      </w:pPr>
    </w:p>
    <w:p w:rsidR="00FF58D4" w:rsidRPr="00FF58D4" w:rsidRDefault="00FF58D4" w:rsidP="00FF58D4">
      <w:pPr>
        <w:spacing w:after="0" w:line="240" w:lineRule="auto"/>
        <w:jc w:val="both"/>
        <w:rPr>
          <w:rFonts w:eastAsia="Calibri" w:cs="Times New Roman"/>
          <w:b/>
          <w:bCs/>
          <w:szCs w:val="24"/>
          <w:lang w:val="en-GB" w:eastAsia="lt-LT"/>
        </w:rPr>
      </w:pPr>
      <w:r w:rsidRPr="00FF58D4">
        <w:rPr>
          <w:rFonts w:eastAsia="Calibri" w:cs="Times New Roman"/>
          <w:b/>
          <w:bCs/>
          <w:szCs w:val="24"/>
          <w:lang w:val="en-GB" w:eastAsia="lt-LT"/>
        </w:rPr>
        <w:t>The mediation letter</w:t>
      </w:r>
      <w:bookmarkStart w:id="1" w:name="_GoBack"/>
      <w:bookmarkEnd w:id="1"/>
      <w:r w:rsidRPr="00FF58D4">
        <w:rPr>
          <w:rFonts w:eastAsia="Calibri" w:cs="Times New Roman"/>
          <w:b/>
          <w:bCs/>
          <w:szCs w:val="24"/>
          <w:lang w:val="en-GB" w:eastAsia="lt-LT"/>
        </w:rPr>
        <w:t>:</w:t>
      </w:r>
    </w:p>
    <w:p w:rsidR="00FF58D4" w:rsidRPr="00FF58D4" w:rsidRDefault="000B7E55" w:rsidP="00C7238C">
      <w:pPr>
        <w:numPr>
          <w:ilvl w:val="1"/>
          <w:numId w:val="10"/>
        </w:numPr>
        <w:spacing w:after="0" w:line="240" w:lineRule="auto"/>
        <w:ind w:left="709" w:hanging="283"/>
        <w:jc w:val="both"/>
        <w:rPr>
          <w:rFonts w:eastAsia="Calibri" w:cs="Times New Roman"/>
          <w:b/>
          <w:bCs/>
          <w:szCs w:val="24"/>
          <w:lang w:val="en-GB" w:eastAsia="lt-LT"/>
        </w:rPr>
      </w:pPr>
      <w:proofErr w:type="gramStart"/>
      <w:r w:rsidRPr="000B7E55">
        <w:rPr>
          <w:rFonts w:eastAsia="Calibri" w:cs="Times New Roman"/>
          <w:b/>
          <w:bCs/>
          <w:szCs w:val="24"/>
          <w:lang w:val="en-GB" w:eastAsia="lt-LT"/>
        </w:rPr>
        <w:t>it</w:t>
      </w:r>
      <w:proofErr w:type="gramEnd"/>
      <w:r w:rsidRPr="000B7E55">
        <w:rPr>
          <w:rFonts w:eastAsia="Calibri" w:cs="Times New Roman"/>
          <w:b/>
          <w:bCs/>
          <w:szCs w:val="24"/>
          <w:lang w:val="en-GB" w:eastAsia="lt-LT"/>
        </w:rPr>
        <w:t xml:space="preserve"> is indicated</w:t>
      </w:r>
      <w:r w:rsidRPr="000B7E55">
        <w:rPr>
          <w:rFonts w:eastAsia="Calibri" w:cs="Times New Roman"/>
          <w:b/>
          <w:bCs/>
          <w:szCs w:val="24"/>
          <w:lang w:eastAsia="lt-LT"/>
        </w:rPr>
        <w:t xml:space="preserve"> </w:t>
      </w:r>
      <w:r w:rsidR="00FF58D4" w:rsidRPr="00FF58D4">
        <w:rPr>
          <w:rFonts w:eastAsia="Calibri" w:cs="Times New Roman"/>
          <w:b/>
          <w:bCs/>
          <w:szCs w:val="24"/>
          <w:lang w:val="en-GB" w:eastAsia="lt-LT"/>
        </w:rPr>
        <w:t>where the foreigner's professional activity is not regulated, indicate the high professional qualifications held by the foreigner and confirm that the high professional qualifications held by the foreigner are relevant to the work performed.</w:t>
      </w:r>
    </w:p>
    <w:p w:rsidR="00FF58D4" w:rsidRPr="00FF58D4" w:rsidRDefault="00FF58D4" w:rsidP="00FF58D4">
      <w:pPr>
        <w:spacing w:after="0" w:line="240" w:lineRule="auto"/>
        <w:jc w:val="both"/>
        <w:rPr>
          <w:rFonts w:eastAsia="Calibri" w:cs="Times New Roman"/>
          <w:b/>
          <w:bCs/>
          <w:szCs w:val="24"/>
          <w:lang w:val="en-GB" w:eastAsia="lt-LT"/>
        </w:rPr>
      </w:pPr>
    </w:p>
    <w:p w:rsidR="00C7238C" w:rsidRPr="000B7E55" w:rsidRDefault="00FF58D4" w:rsidP="00C7238C">
      <w:pPr>
        <w:spacing w:after="0" w:line="240" w:lineRule="auto"/>
        <w:jc w:val="both"/>
        <w:rPr>
          <w:rFonts w:eastAsia="Calibri" w:cs="Times New Roman"/>
          <w:bCs/>
          <w:i/>
          <w:szCs w:val="24"/>
          <w:lang w:val="en-GB" w:eastAsia="lt-LT"/>
        </w:rPr>
      </w:pPr>
      <w:r w:rsidRPr="000B7E55">
        <w:rPr>
          <w:rFonts w:eastAsia="Calibri" w:cs="Times New Roman"/>
          <w:bCs/>
          <w:i/>
          <w:szCs w:val="24"/>
          <w:lang w:val="en-GB" w:eastAsia="lt-LT"/>
        </w:rPr>
        <w:t xml:space="preserve">The employer must make sure that the foreigner has documents proving his/her high professional qualifications (a higher education diploma or a document proving that the professional experience is equivalent to a higher education qualification); </w:t>
      </w:r>
    </w:p>
    <w:p w:rsidR="00C7238C" w:rsidRDefault="00C7238C" w:rsidP="00C7238C">
      <w:pPr>
        <w:spacing w:after="0" w:line="240" w:lineRule="auto"/>
        <w:jc w:val="both"/>
        <w:rPr>
          <w:rFonts w:eastAsia="Calibri" w:cs="Times New Roman"/>
          <w:b/>
          <w:bCs/>
          <w:szCs w:val="24"/>
          <w:lang w:val="en-GB" w:eastAsia="lt-LT"/>
        </w:rPr>
      </w:pPr>
    </w:p>
    <w:p w:rsidR="00FF58D4" w:rsidRPr="00C7238C" w:rsidRDefault="000B7E55" w:rsidP="00C7238C">
      <w:pPr>
        <w:pStyle w:val="Sraopastraipa"/>
        <w:numPr>
          <w:ilvl w:val="0"/>
          <w:numId w:val="13"/>
        </w:numPr>
        <w:spacing w:after="0" w:line="240" w:lineRule="auto"/>
        <w:jc w:val="both"/>
        <w:rPr>
          <w:rFonts w:eastAsia="Calibri" w:cs="Times New Roman"/>
          <w:b/>
          <w:bCs/>
          <w:color w:val="000000"/>
          <w:szCs w:val="24"/>
          <w:lang w:val="en-GB"/>
        </w:rPr>
      </w:pPr>
      <w:proofErr w:type="gramStart"/>
      <w:r w:rsidRPr="000B7E55">
        <w:rPr>
          <w:rFonts w:eastAsia="Calibri" w:cs="Times New Roman"/>
          <w:b/>
          <w:bCs/>
          <w:szCs w:val="24"/>
          <w:lang w:val="en-GB" w:eastAsia="lt-LT"/>
        </w:rPr>
        <w:t>it</w:t>
      </w:r>
      <w:proofErr w:type="gramEnd"/>
      <w:r w:rsidRPr="000B7E55">
        <w:rPr>
          <w:rFonts w:eastAsia="Calibri" w:cs="Times New Roman"/>
          <w:b/>
          <w:bCs/>
          <w:szCs w:val="24"/>
          <w:lang w:val="en-GB" w:eastAsia="lt-LT"/>
        </w:rPr>
        <w:t xml:space="preserve"> is indicated</w:t>
      </w:r>
      <w:r w:rsidR="00FF58D4" w:rsidRPr="00C7238C">
        <w:rPr>
          <w:rFonts w:eastAsia="Calibri" w:cs="Times New Roman"/>
          <w:b/>
          <w:bCs/>
          <w:szCs w:val="24"/>
          <w:lang w:val="en-GB" w:eastAsia="lt-LT"/>
        </w:rPr>
        <w:t xml:space="preserve"> whether the foreigner will be covered by a multi-employer contract (if so, the details of the other employers: the company or natural person's company number, the name of the company or the name of the natural person</w:t>
      </w:r>
      <w:r w:rsidR="00FF58D4" w:rsidRPr="00C7238C">
        <w:rPr>
          <w:rFonts w:eastAsia="Calibri" w:cs="Times New Roman"/>
          <w:b/>
          <w:bCs/>
          <w:color w:val="000000"/>
          <w:szCs w:val="24"/>
          <w:lang w:val="en-GB"/>
        </w:rPr>
        <w:t>).</w:t>
      </w:r>
    </w:p>
    <w:p w:rsidR="00FF58D4" w:rsidRPr="00FF58D4" w:rsidRDefault="00FF58D4" w:rsidP="00FF58D4">
      <w:pPr>
        <w:spacing w:after="0" w:line="240" w:lineRule="auto"/>
        <w:rPr>
          <w:rFonts w:eastAsia="Times New Roman" w:cs="Times New Roman"/>
          <w:sz w:val="22"/>
          <w:lang w:val="en-GB"/>
        </w:rPr>
      </w:pPr>
    </w:p>
    <w:p w:rsidR="007D6BBC" w:rsidRPr="007D6BBC" w:rsidRDefault="007D6BBC" w:rsidP="007D6BBC">
      <w:pPr>
        <w:pStyle w:val="Betarp"/>
        <w:jc w:val="both"/>
        <w:rPr>
          <w:rFonts w:eastAsia="Times New Roman" w:cs="Times New Roman"/>
          <w:b/>
          <w:color w:val="1C1C1C"/>
          <w:szCs w:val="24"/>
          <w:lang w:val="en-GB" w:eastAsia="lt-LT"/>
        </w:rPr>
      </w:pPr>
    </w:p>
    <w:p w:rsidR="0036188E" w:rsidRPr="0036188E" w:rsidRDefault="00A82AA9" w:rsidP="0036188E">
      <w:pPr>
        <w:pStyle w:val="Betarp"/>
        <w:jc w:val="both"/>
        <w:rPr>
          <w:rFonts w:eastAsia="Times New Roman" w:cs="Times New Roman"/>
          <w:b/>
          <w:szCs w:val="24"/>
          <w:lang w:val="en-GB"/>
        </w:rPr>
      </w:pPr>
      <w:r w:rsidRPr="007D6BBC">
        <w:rPr>
          <w:b/>
          <w:szCs w:val="24"/>
          <w:lang w:val="en-GB"/>
        </w:rPr>
        <w:t xml:space="preserve"> </w:t>
      </w:r>
      <w:r w:rsidR="003E73F0">
        <w:rPr>
          <w:b/>
          <w:bCs/>
          <w:i/>
          <w:szCs w:val="24"/>
          <w:lang w:val="en-GB"/>
        </w:rPr>
        <w:t>W</w:t>
      </w:r>
      <w:r w:rsidR="003E73F0" w:rsidRPr="007D6BBC">
        <w:rPr>
          <w:b/>
          <w:bCs/>
          <w:i/>
          <w:szCs w:val="24"/>
          <w:lang w:val="en-GB"/>
        </w:rPr>
        <w:t xml:space="preserve">hen an alien’s </w:t>
      </w:r>
      <w:r w:rsidR="003E73F0" w:rsidRPr="007D6BBC">
        <w:rPr>
          <w:b/>
          <w:i/>
          <w:iCs/>
          <w:szCs w:val="24"/>
          <w:lang w:val="en-GB"/>
        </w:rPr>
        <w:t>vocational activity</w:t>
      </w:r>
      <w:r w:rsidR="003E73F0">
        <w:rPr>
          <w:b/>
          <w:i/>
          <w:iCs/>
          <w:szCs w:val="24"/>
          <w:lang w:val="en-GB"/>
        </w:rPr>
        <w:t xml:space="preserve"> </w:t>
      </w:r>
      <w:r w:rsidR="003E73F0" w:rsidRPr="007D6BBC">
        <w:rPr>
          <w:b/>
          <w:bCs/>
          <w:i/>
          <w:szCs w:val="24"/>
          <w:lang w:val="en-GB"/>
        </w:rPr>
        <w:t>is regulated</w:t>
      </w:r>
      <w:r w:rsidR="003E73F0" w:rsidRPr="007D6BBC">
        <w:rPr>
          <w:b/>
          <w:i/>
          <w:iCs/>
          <w:szCs w:val="24"/>
          <w:lang w:val="en-GB"/>
        </w:rPr>
        <w:t>*</w:t>
      </w:r>
      <w:r w:rsidR="003E73F0">
        <w:rPr>
          <w:b/>
          <w:i/>
          <w:iCs/>
          <w:szCs w:val="24"/>
          <w:lang w:val="en-GB"/>
        </w:rPr>
        <w:t>,</w:t>
      </w:r>
      <w:r w:rsidR="003E73F0" w:rsidRPr="007D6BBC">
        <w:rPr>
          <w:b/>
          <w:szCs w:val="24"/>
          <w:lang w:val="en-GB"/>
        </w:rPr>
        <w:t xml:space="preserve"> </w:t>
      </w:r>
      <w:r w:rsidR="003E73F0">
        <w:rPr>
          <w:b/>
          <w:szCs w:val="24"/>
          <w:lang w:val="en-GB"/>
        </w:rPr>
        <w:t>d</w:t>
      </w:r>
      <w:r w:rsidR="007D6BBC" w:rsidRPr="007D6BBC">
        <w:rPr>
          <w:b/>
          <w:szCs w:val="24"/>
          <w:lang w:val="en-GB"/>
        </w:rPr>
        <w:t xml:space="preserve">ocument affirming that the alien conforms to the conditions indicated in the statutes of law of the Republic of Lithuania to perform the </w:t>
      </w:r>
      <w:r w:rsidR="007D6BBC" w:rsidRPr="003E73F0">
        <w:rPr>
          <w:b/>
          <w:iCs/>
          <w:szCs w:val="24"/>
          <w:lang w:val="en-GB"/>
        </w:rPr>
        <w:t xml:space="preserve">regulated </w:t>
      </w:r>
      <w:bookmarkStart w:id="2" w:name="_Hlk69110392"/>
      <w:r w:rsidR="007D6BBC" w:rsidRPr="003E73F0">
        <w:rPr>
          <w:b/>
          <w:iCs/>
          <w:szCs w:val="24"/>
          <w:lang w:val="en-GB"/>
        </w:rPr>
        <w:t>vocational activity</w:t>
      </w:r>
      <w:bookmarkEnd w:id="2"/>
      <w:r w:rsidR="0036188E">
        <w:rPr>
          <w:b/>
          <w:iCs/>
          <w:szCs w:val="24"/>
          <w:lang w:val="en-GB"/>
        </w:rPr>
        <w:t>,</w:t>
      </w:r>
      <w:r w:rsidR="0036188E" w:rsidRPr="0036188E">
        <w:rPr>
          <w:b/>
          <w:szCs w:val="24"/>
        </w:rPr>
        <w:t xml:space="preserve"> </w:t>
      </w:r>
      <w:r w:rsidR="0036188E" w:rsidRPr="0036188E">
        <w:rPr>
          <w:b/>
          <w:szCs w:val="24"/>
          <w:lang w:val="en-GB"/>
        </w:rPr>
        <w:t>which is indicated in the employer’s undertaking to employ the alien in accordance to the employment contract or in the employment contract;</w:t>
      </w:r>
    </w:p>
    <w:p w:rsidR="00A82AA9" w:rsidRPr="007D6BBC" w:rsidRDefault="00A82AA9" w:rsidP="00A82AA9">
      <w:pPr>
        <w:pStyle w:val="Betarp"/>
        <w:jc w:val="both"/>
        <w:rPr>
          <w:b/>
          <w:bCs/>
          <w:i/>
          <w:szCs w:val="24"/>
          <w:u w:val="single"/>
          <w:lang w:val="en-GB"/>
        </w:rPr>
      </w:pPr>
    </w:p>
    <w:p w:rsidR="007D6BBC" w:rsidRPr="007D6BBC" w:rsidRDefault="007D6BBC" w:rsidP="007D6BBC">
      <w:pPr>
        <w:pStyle w:val="Betarp"/>
        <w:jc w:val="both"/>
        <w:rPr>
          <w:b/>
          <w:szCs w:val="24"/>
          <w:lang w:val="en-US"/>
        </w:rPr>
      </w:pPr>
      <w:r w:rsidRPr="007D6BBC">
        <w:rPr>
          <w:b/>
          <w:szCs w:val="24"/>
          <w:lang w:val="en-US"/>
        </w:rPr>
        <w:t xml:space="preserve"> </w:t>
      </w:r>
      <w:r w:rsidRPr="007D6BBC">
        <w:rPr>
          <w:b/>
          <w:i/>
          <w:szCs w:val="24"/>
          <w:lang w:val="en-US"/>
        </w:rPr>
        <w:t xml:space="preserve">When the </w:t>
      </w:r>
      <w:r w:rsidR="00C7238C" w:rsidRPr="004756ED">
        <w:rPr>
          <w:b/>
          <w:bCs/>
          <w:i/>
          <w:szCs w:val="24"/>
          <w:lang w:val="en-GB"/>
        </w:rPr>
        <w:t>foreigner</w:t>
      </w:r>
      <w:r w:rsidRPr="007D6BBC">
        <w:rPr>
          <w:b/>
          <w:i/>
          <w:szCs w:val="24"/>
          <w:lang w:val="en-US"/>
        </w:rPr>
        <w:t xml:space="preserve"> intends </w:t>
      </w:r>
      <w:bookmarkStart w:id="3" w:name="_Hlk126236359"/>
      <w:r w:rsidRPr="007D6BBC">
        <w:rPr>
          <w:b/>
          <w:i/>
          <w:szCs w:val="24"/>
          <w:lang w:val="en-US"/>
        </w:rPr>
        <w:t xml:space="preserve">to take-up high qualification work as </w:t>
      </w:r>
      <w:r w:rsidRPr="007D6BBC">
        <w:rPr>
          <w:b/>
          <w:i/>
          <w:szCs w:val="24"/>
          <w:u w:val="single"/>
          <w:lang w:val="en-US"/>
        </w:rPr>
        <w:t xml:space="preserve">the </w:t>
      </w:r>
      <w:r w:rsidR="0036188E" w:rsidRPr="006712DF">
        <w:rPr>
          <w:b/>
          <w:i/>
          <w:szCs w:val="24"/>
          <w:u w:val="single"/>
          <w:lang w:val="en-GB"/>
        </w:rPr>
        <w:t>head</w:t>
      </w:r>
      <w:r w:rsidRPr="007D6BBC">
        <w:rPr>
          <w:b/>
          <w:i/>
          <w:szCs w:val="24"/>
          <w:u w:val="single"/>
          <w:lang w:val="en-US"/>
        </w:rPr>
        <w:t xml:space="preserve"> of the company</w:t>
      </w:r>
      <w:r w:rsidRPr="007D6BBC">
        <w:rPr>
          <w:b/>
          <w:i/>
          <w:szCs w:val="24"/>
          <w:lang w:val="en-US"/>
        </w:rPr>
        <w:t xml:space="preserve">, </w:t>
      </w:r>
      <w:r w:rsidRPr="007D6BBC">
        <w:rPr>
          <w:b/>
          <w:szCs w:val="24"/>
          <w:lang w:val="en-US"/>
        </w:rPr>
        <w:t xml:space="preserve">document issued by Public Body “Invest Lithuania” affirming that the employer, who is intending to employ the </w:t>
      </w:r>
      <w:r w:rsidR="00C7238C" w:rsidRPr="00C7238C">
        <w:rPr>
          <w:b/>
          <w:bCs/>
          <w:szCs w:val="24"/>
          <w:lang w:val="en-GB"/>
        </w:rPr>
        <w:t>foreigner</w:t>
      </w:r>
      <w:r w:rsidRPr="007D6BBC">
        <w:rPr>
          <w:b/>
          <w:szCs w:val="24"/>
          <w:lang w:val="en-US"/>
        </w:rPr>
        <w:t xml:space="preserve"> to perform high vocational qualification work as the </w:t>
      </w:r>
      <w:r w:rsidR="0036188E" w:rsidRPr="006712DF">
        <w:rPr>
          <w:b/>
          <w:szCs w:val="24"/>
          <w:lang w:val="en-GB"/>
        </w:rPr>
        <w:t>head</w:t>
      </w:r>
      <w:r w:rsidRPr="007D6BBC">
        <w:rPr>
          <w:b/>
          <w:szCs w:val="24"/>
          <w:lang w:val="en-US"/>
        </w:rPr>
        <w:t xml:space="preserve"> of the company, is the company established in the Republic of Lithuania, the annual income of its participant (company or company group established in the foreign country) within the last three financial years (if the company is active for less than three years - from the date of establishment) and until the day of submitting the request at least during one financial year is no less than 1,000,000.00 EUR;</w:t>
      </w:r>
    </w:p>
    <w:bookmarkEnd w:id="3"/>
    <w:p w:rsidR="00417E91" w:rsidRPr="007D6BBC" w:rsidRDefault="00417E91" w:rsidP="00A82AA9">
      <w:pPr>
        <w:pStyle w:val="Betarp"/>
        <w:jc w:val="both"/>
        <w:rPr>
          <w:b/>
          <w:szCs w:val="24"/>
          <w:lang w:val="en-US" w:eastAsia="lt-LT"/>
        </w:rPr>
      </w:pPr>
    </w:p>
    <w:p w:rsidR="007D6BBC" w:rsidRPr="001977CA" w:rsidRDefault="007D6BBC" w:rsidP="007D6BBC">
      <w:pPr>
        <w:pStyle w:val="Betarp"/>
        <w:jc w:val="both"/>
        <w:rPr>
          <w:rFonts w:cs="Times New Roman"/>
          <w:b/>
          <w:szCs w:val="24"/>
          <w:lang w:val="en-GB"/>
        </w:rPr>
      </w:pPr>
      <w:r w:rsidRPr="001977CA">
        <w:rPr>
          <w:b/>
          <w:szCs w:val="24"/>
          <w:lang w:val="en-GB"/>
        </w:rPr>
        <w:t></w:t>
      </w:r>
      <w:r w:rsidRPr="001977CA">
        <w:rPr>
          <w:rFonts w:cs="Times New Roman"/>
          <w:b/>
          <w:szCs w:val="24"/>
          <w:lang w:val="en-GB"/>
        </w:rPr>
        <w:t xml:space="preserve"> </w:t>
      </w:r>
      <w:r w:rsidR="00FF58D4" w:rsidRPr="001977CA">
        <w:rPr>
          <w:b/>
          <w:i/>
          <w:szCs w:val="24"/>
          <w:lang w:val="en-GB"/>
        </w:rPr>
        <w:t xml:space="preserve">If another person paid the public fees for the </w:t>
      </w:r>
      <w:bookmarkStart w:id="4" w:name="_Hlk126236560"/>
      <w:r w:rsidR="00FF58D4" w:rsidRPr="004756ED">
        <w:rPr>
          <w:b/>
          <w:bCs/>
          <w:i/>
          <w:szCs w:val="24"/>
          <w:lang w:val="en-GB"/>
        </w:rPr>
        <w:t>foreigner</w:t>
      </w:r>
      <w:r w:rsidR="00FF58D4" w:rsidRPr="001977CA">
        <w:rPr>
          <w:b/>
          <w:szCs w:val="24"/>
          <w:lang w:val="en-GB"/>
        </w:rPr>
        <w:t xml:space="preserve">: </w:t>
      </w:r>
      <w:bookmarkEnd w:id="4"/>
      <w:r w:rsidR="00FF58D4" w:rsidRPr="001977CA">
        <w:rPr>
          <w:b/>
          <w:szCs w:val="24"/>
          <w:lang w:val="en-GB"/>
        </w:rPr>
        <w:t xml:space="preserve">the extended form of the payment order of the paid public fees, wherein the name(s), surname(s), personal identification number or date of birth of the </w:t>
      </w:r>
      <w:r w:rsidR="00FF58D4" w:rsidRPr="004756ED">
        <w:rPr>
          <w:b/>
          <w:bCs/>
          <w:szCs w:val="24"/>
          <w:lang w:val="en-GB"/>
        </w:rPr>
        <w:t>foreigner</w:t>
      </w:r>
      <w:r w:rsidR="00FF58D4" w:rsidRPr="001977CA">
        <w:rPr>
          <w:b/>
          <w:szCs w:val="24"/>
          <w:lang w:val="en-GB"/>
        </w:rPr>
        <w:t xml:space="preserve">, for whom the payment was made, is indicated.     </w:t>
      </w:r>
    </w:p>
    <w:p w:rsidR="0079456F" w:rsidRPr="007D6BBC" w:rsidRDefault="0079456F" w:rsidP="0079456F">
      <w:pPr>
        <w:pStyle w:val="Betarp"/>
        <w:jc w:val="both"/>
        <w:rPr>
          <w:i/>
          <w:szCs w:val="24"/>
          <w:lang w:val="en-GB"/>
        </w:rPr>
      </w:pPr>
    </w:p>
    <w:p w:rsidR="00807A81" w:rsidRDefault="00807A81" w:rsidP="00204BF2">
      <w:pPr>
        <w:pStyle w:val="Betarp"/>
        <w:jc w:val="both"/>
        <w:rPr>
          <w:b/>
          <w:szCs w:val="24"/>
          <w:lang w:eastAsia="lt-LT"/>
        </w:rPr>
      </w:pPr>
    </w:p>
    <w:p w:rsidR="00C7238C" w:rsidRDefault="00C7238C" w:rsidP="00204BF2">
      <w:pPr>
        <w:pStyle w:val="Betarp"/>
        <w:jc w:val="both"/>
        <w:rPr>
          <w:b/>
          <w:szCs w:val="24"/>
          <w:lang w:eastAsia="lt-LT"/>
        </w:rPr>
      </w:pPr>
    </w:p>
    <w:p w:rsidR="00C7238C" w:rsidRDefault="00C7238C" w:rsidP="00204BF2">
      <w:pPr>
        <w:pStyle w:val="Betarp"/>
        <w:jc w:val="both"/>
        <w:rPr>
          <w:b/>
          <w:szCs w:val="24"/>
          <w:lang w:eastAsia="lt-LT"/>
        </w:rPr>
      </w:pPr>
    </w:p>
    <w:p w:rsidR="00C7238C" w:rsidRDefault="00C7238C" w:rsidP="00204BF2">
      <w:pPr>
        <w:pStyle w:val="Betarp"/>
        <w:jc w:val="both"/>
        <w:rPr>
          <w:b/>
          <w:szCs w:val="24"/>
          <w:lang w:eastAsia="lt-LT"/>
        </w:rPr>
      </w:pPr>
    </w:p>
    <w:p w:rsidR="00C7238C" w:rsidRPr="00204BF2" w:rsidRDefault="00C7238C" w:rsidP="00204BF2">
      <w:pPr>
        <w:pStyle w:val="Betarp"/>
        <w:jc w:val="both"/>
        <w:rPr>
          <w:b/>
          <w:szCs w:val="24"/>
          <w:lang w:eastAsia="lt-LT"/>
        </w:rPr>
      </w:pPr>
    </w:p>
    <w:p w:rsidR="00C7238C" w:rsidRPr="001977CA" w:rsidRDefault="00C7238C" w:rsidP="00C7238C">
      <w:pPr>
        <w:spacing w:after="0" w:line="240" w:lineRule="auto"/>
        <w:rPr>
          <w:rFonts w:eastAsia="Times New Roman" w:cs="Times New Roman"/>
          <w:color w:val="000000"/>
          <w:sz w:val="22"/>
          <w:lang w:val="en-GB"/>
        </w:rPr>
      </w:pPr>
      <w:bookmarkStart w:id="5" w:name="_Hlk69110009"/>
      <w:r w:rsidRPr="001977CA">
        <w:rPr>
          <w:color w:val="000000"/>
          <w:sz w:val="22"/>
          <w:lang w:val="en-GB"/>
        </w:rPr>
        <w:t xml:space="preserve">I have checked whether all of the necessary documents were submitted ___________________________________________________________________, </w:t>
      </w:r>
    </w:p>
    <w:p w:rsidR="00C7238C" w:rsidRPr="001977CA" w:rsidRDefault="00C7238C" w:rsidP="00C7238C">
      <w:pPr>
        <w:spacing w:after="0" w:line="240" w:lineRule="auto"/>
        <w:rPr>
          <w:rFonts w:eastAsia="Times New Roman" w:cs="Times New Roman"/>
          <w:color w:val="000000"/>
          <w:szCs w:val="24"/>
          <w:lang w:val="en-GB"/>
        </w:rPr>
      </w:pPr>
      <w:r w:rsidRPr="001977CA">
        <w:rPr>
          <w:color w:val="000000"/>
          <w:vertAlign w:val="superscript"/>
          <w:lang w:val="en-GB"/>
        </w:rPr>
        <w:t xml:space="preserve">                              (Citizenship, name(s), surname(s) and date of birth of the alien)                                        </w:t>
      </w:r>
    </w:p>
    <w:p w:rsidR="00C7238C" w:rsidRPr="001977CA" w:rsidRDefault="00C7238C" w:rsidP="00C7238C">
      <w:pPr>
        <w:spacing w:after="0" w:line="240" w:lineRule="auto"/>
        <w:rPr>
          <w:rFonts w:eastAsia="Times New Roman" w:cs="Times New Roman"/>
          <w:color w:val="000000"/>
          <w:sz w:val="16"/>
          <w:szCs w:val="16"/>
          <w:lang w:val="en-GB"/>
        </w:rPr>
      </w:pPr>
    </w:p>
    <w:p w:rsidR="00C7238C" w:rsidRPr="001977CA" w:rsidRDefault="00C7238C" w:rsidP="00C7238C">
      <w:pPr>
        <w:spacing w:after="0" w:line="240" w:lineRule="auto"/>
        <w:rPr>
          <w:rFonts w:eastAsia="Times New Roman" w:cs="Times New Roman"/>
          <w:color w:val="000000"/>
          <w:sz w:val="22"/>
          <w:lang w:val="en-GB"/>
        </w:rPr>
      </w:pPr>
      <w:bookmarkStart w:id="6" w:name="_Hlk13923128"/>
      <w:r w:rsidRPr="001977CA">
        <w:rPr>
          <w:color w:val="000000"/>
          <w:sz w:val="22"/>
          <w:lang w:val="en-GB"/>
        </w:rPr>
        <w:t xml:space="preserve">and I have accepted/not-accepted them:                                                                                   </w:t>
      </w:r>
    </w:p>
    <w:bookmarkEnd w:id="6"/>
    <w:p w:rsidR="00C7238C" w:rsidRPr="001977CA" w:rsidRDefault="00C7238C" w:rsidP="00C7238C">
      <w:pPr>
        <w:spacing w:after="0" w:line="240" w:lineRule="auto"/>
        <w:jc w:val="both"/>
        <w:rPr>
          <w:rFonts w:eastAsia="Calibri" w:cs="Times New Roman"/>
          <w:b/>
          <w:szCs w:val="24"/>
          <w:lang w:val="en-GB" w:eastAsia="lt-LT"/>
        </w:rPr>
      </w:pPr>
      <w:r w:rsidRPr="001977CA">
        <w:rPr>
          <w:noProof/>
          <w:lang w:eastAsia="lt-LT"/>
        </w:rPr>
        <w:drawing>
          <wp:inline distT="0" distB="0" distL="0" distR="0" wp14:anchorId="5E389CB3" wp14:editId="3CE05A84">
            <wp:extent cx="6120765" cy="102167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1021670"/>
                    </a:xfrm>
                    <a:prstGeom prst="rect">
                      <a:avLst/>
                    </a:prstGeom>
                    <a:noFill/>
                    <a:ln>
                      <a:noFill/>
                    </a:ln>
                  </pic:spPr>
                </pic:pic>
              </a:graphicData>
            </a:graphic>
          </wp:inline>
        </w:drawing>
      </w:r>
    </w:p>
    <w:p w:rsidR="00C7238C" w:rsidRDefault="00C7238C" w:rsidP="00C7238C">
      <w:pPr>
        <w:pStyle w:val="Betarp"/>
        <w:rPr>
          <w:rFonts w:eastAsia="Times New Roman" w:cs="Times New Roman"/>
          <w:color w:val="000000"/>
          <w:sz w:val="16"/>
          <w:szCs w:val="16"/>
        </w:rPr>
      </w:pPr>
    </w:p>
    <w:p w:rsidR="00C7238C" w:rsidRDefault="00C7238C" w:rsidP="00C7238C">
      <w:pPr>
        <w:pStyle w:val="Betarp"/>
        <w:rPr>
          <w:rFonts w:eastAsia="Times New Roman" w:cs="Times New Roman"/>
          <w:color w:val="000000"/>
          <w:sz w:val="16"/>
          <w:szCs w:val="16"/>
        </w:rPr>
      </w:pPr>
    </w:p>
    <w:bookmarkEnd w:id="5"/>
    <w:p w:rsidR="00C7238C" w:rsidRDefault="00C7238C" w:rsidP="007D6BBC">
      <w:pPr>
        <w:spacing w:after="0" w:line="240" w:lineRule="auto"/>
        <w:jc w:val="both"/>
        <w:rPr>
          <w:rFonts w:eastAsia="Calibri" w:cs="Times New Roman"/>
          <w:b/>
          <w:szCs w:val="24"/>
          <w:lang w:val="en-GB" w:eastAsia="lt-LT"/>
        </w:rPr>
      </w:pPr>
    </w:p>
    <w:p w:rsidR="00C7238C" w:rsidRDefault="00C7238C" w:rsidP="007D6BBC">
      <w:pPr>
        <w:spacing w:after="0" w:line="240" w:lineRule="auto"/>
        <w:jc w:val="both"/>
        <w:rPr>
          <w:rFonts w:eastAsia="Calibri" w:cs="Times New Roman"/>
          <w:b/>
          <w:szCs w:val="24"/>
          <w:lang w:val="en-GB" w:eastAsia="lt-LT"/>
        </w:rPr>
      </w:pPr>
    </w:p>
    <w:p w:rsidR="00C7238C" w:rsidRDefault="00C7238C" w:rsidP="007D6BBC">
      <w:pPr>
        <w:spacing w:after="0" w:line="240" w:lineRule="auto"/>
        <w:jc w:val="both"/>
        <w:rPr>
          <w:rFonts w:eastAsia="Calibri" w:cs="Times New Roman"/>
          <w:b/>
          <w:szCs w:val="24"/>
          <w:lang w:val="en-GB" w:eastAsia="lt-LT"/>
        </w:rPr>
      </w:pPr>
    </w:p>
    <w:p w:rsidR="00C7238C" w:rsidRDefault="00C7238C" w:rsidP="007D6BBC">
      <w:pPr>
        <w:spacing w:after="0" w:line="240" w:lineRule="auto"/>
        <w:jc w:val="both"/>
        <w:rPr>
          <w:rFonts w:eastAsia="Calibri" w:cs="Times New Roman"/>
          <w:b/>
          <w:szCs w:val="24"/>
          <w:lang w:val="en-GB" w:eastAsia="lt-LT"/>
        </w:rPr>
      </w:pPr>
    </w:p>
    <w:p w:rsidR="00C7238C" w:rsidRDefault="00C7238C" w:rsidP="007D6BBC">
      <w:pPr>
        <w:spacing w:after="0" w:line="240" w:lineRule="auto"/>
        <w:jc w:val="both"/>
        <w:rPr>
          <w:rFonts w:eastAsia="Calibri" w:cs="Times New Roman"/>
          <w:b/>
          <w:szCs w:val="24"/>
          <w:lang w:val="en-GB" w:eastAsia="lt-LT"/>
        </w:rPr>
      </w:pPr>
    </w:p>
    <w:p w:rsidR="00C7238C" w:rsidRPr="001977CA" w:rsidRDefault="00C7238C" w:rsidP="007D6BBC">
      <w:pPr>
        <w:spacing w:after="0" w:line="240" w:lineRule="auto"/>
        <w:jc w:val="both"/>
        <w:rPr>
          <w:rFonts w:eastAsia="Calibri" w:cs="Times New Roman"/>
          <w:b/>
          <w:szCs w:val="24"/>
          <w:lang w:val="en-GB" w:eastAsia="lt-LT"/>
        </w:rPr>
      </w:pPr>
    </w:p>
    <w:p w:rsidR="004F25B8" w:rsidRDefault="00F14F20" w:rsidP="00204BF2">
      <w:pPr>
        <w:spacing w:after="0" w:line="240" w:lineRule="auto"/>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__________________________________________________________________________________________________________________</w:t>
      </w:r>
    </w:p>
    <w:p w:rsidR="007D6BBC" w:rsidRPr="003E73F0" w:rsidRDefault="007D6BBC" w:rsidP="007D6BBC">
      <w:pPr>
        <w:tabs>
          <w:tab w:val="left" w:pos="567"/>
        </w:tabs>
        <w:spacing w:after="0" w:line="240" w:lineRule="auto"/>
        <w:jc w:val="both"/>
        <w:rPr>
          <w:rFonts w:eastAsia="Times New Roman" w:cs="Times New Roman"/>
          <w:color w:val="000000"/>
          <w:sz w:val="18"/>
          <w:szCs w:val="18"/>
          <w:lang w:val="en-GB"/>
        </w:rPr>
      </w:pPr>
    </w:p>
    <w:p w:rsidR="003E73F0" w:rsidRPr="003E73F0" w:rsidRDefault="007D6BBC" w:rsidP="003E73F0">
      <w:pPr>
        <w:spacing w:after="0" w:line="240" w:lineRule="auto"/>
        <w:ind w:right="-50"/>
        <w:jc w:val="both"/>
        <w:rPr>
          <w:rFonts w:eastAsia="Times New Roman" w:cs="Times New Roman"/>
          <w:sz w:val="22"/>
          <w:lang w:val="en-GB"/>
        </w:rPr>
      </w:pPr>
      <w:r w:rsidRPr="003E73F0">
        <w:rPr>
          <w:rFonts w:eastAsia="Times New Roman" w:cs="Times New Roman"/>
          <w:color w:val="000000"/>
          <w:sz w:val="22"/>
          <w:lang w:val="en-GB"/>
        </w:rPr>
        <w:t>*</w:t>
      </w:r>
      <w:r w:rsidR="003E73F0" w:rsidRPr="003E73F0">
        <w:rPr>
          <w:b/>
          <w:bCs/>
          <w:sz w:val="22"/>
          <w:lang w:val="en-GB"/>
        </w:rPr>
        <w:t>Regulated vocations –</w:t>
      </w:r>
      <w:r w:rsidR="003E73F0" w:rsidRPr="003E73F0">
        <w:rPr>
          <w:sz w:val="22"/>
          <w:lang w:val="en-GB"/>
        </w:rPr>
        <w:t xml:space="preserve"> attorney; </w:t>
      </w:r>
      <w:bookmarkStart w:id="7" w:name="part_7ee83f0977c14321b0b7c2ccfe131be2"/>
      <w:bookmarkEnd w:id="7"/>
      <w:r w:rsidR="003E73F0" w:rsidRPr="003E73F0">
        <w:rPr>
          <w:sz w:val="22"/>
          <w:lang w:val="en-GB"/>
        </w:rPr>
        <w:t xml:space="preserve">obstetrician; </w:t>
      </w:r>
      <w:bookmarkStart w:id="8" w:name="part_90d23b6fd1334f13bbc594c3cae8e08c"/>
      <w:bookmarkEnd w:id="8"/>
      <w:r w:rsidR="003E73F0" w:rsidRPr="003E73F0">
        <w:rPr>
          <w:sz w:val="22"/>
          <w:lang w:val="en-GB"/>
        </w:rPr>
        <w:t>architect;</w:t>
      </w:r>
      <w:bookmarkStart w:id="9" w:name="part_de7640bc4e994d39bb473e81aae9d25a"/>
      <w:bookmarkEnd w:id="9"/>
      <w:r w:rsidR="003E73F0" w:rsidRPr="003E73F0">
        <w:rPr>
          <w:sz w:val="22"/>
          <w:lang w:val="en-GB"/>
        </w:rPr>
        <w:t xml:space="preserve"> educator;</w:t>
      </w:r>
      <w:bookmarkStart w:id="10" w:name="part_9f2a59f2071442a3b15412bfed74a767"/>
      <w:bookmarkEnd w:id="10"/>
      <w:r w:rsidR="003E73F0" w:rsidRPr="003E73F0">
        <w:rPr>
          <w:sz w:val="22"/>
          <w:lang w:val="en-GB"/>
        </w:rPr>
        <w:t xml:space="preserve"> bankruptcy administrator; </w:t>
      </w:r>
      <w:bookmarkStart w:id="11" w:name="part_f6974e9747b844b6b612d394438bf792"/>
      <w:bookmarkEnd w:id="11"/>
      <w:r w:rsidR="003E73F0" w:rsidRPr="003E73F0">
        <w:rPr>
          <w:sz w:val="22"/>
          <w:lang w:val="en-GB"/>
        </w:rPr>
        <w:t xml:space="preserve">general practice nurse; </w:t>
      </w:r>
      <w:bookmarkStart w:id="12" w:name="part_3ad03d28140044f1bc005e8d06e1df63"/>
      <w:bookmarkEnd w:id="12"/>
      <w:r w:rsidR="003E73F0" w:rsidRPr="003E73F0">
        <w:rPr>
          <w:sz w:val="22"/>
          <w:lang w:val="en-GB"/>
        </w:rPr>
        <w:t xml:space="preserve">biomedicine technologist; </w:t>
      </w:r>
      <w:bookmarkStart w:id="13" w:name="part_5d2c3c9d9b7746d28894d3caa080661c"/>
      <w:bookmarkEnd w:id="13"/>
      <w:r w:rsidR="003E73F0" w:rsidRPr="003E73F0">
        <w:rPr>
          <w:sz w:val="22"/>
          <w:lang w:val="en-GB"/>
        </w:rPr>
        <w:t xml:space="preserve">mouth hygienist; </w:t>
      </w:r>
      <w:bookmarkStart w:id="14" w:name="part_7f55f98ee20a47c2a06235b06f4cd0c6"/>
      <w:bookmarkEnd w:id="14"/>
      <w:r w:rsidR="003E73F0" w:rsidRPr="003E73F0">
        <w:rPr>
          <w:sz w:val="22"/>
          <w:lang w:val="en-GB"/>
        </w:rPr>
        <w:t xml:space="preserve"> teeth technologist;</w:t>
      </w:r>
      <w:bookmarkStart w:id="15" w:name="part_94c5e0039db047589d96b207f90fd90a"/>
      <w:bookmarkEnd w:id="15"/>
      <w:r w:rsidR="003E73F0" w:rsidRPr="003E73F0">
        <w:rPr>
          <w:sz w:val="22"/>
          <w:lang w:val="en-GB"/>
        </w:rPr>
        <w:t xml:space="preserve"> dietitian; </w:t>
      </w:r>
      <w:bookmarkStart w:id="16" w:name="part_b574379d1e324fd5865db4cdc01ee325"/>
      <w:bookmarkEnd w:id="16"/>
      <w:r w:rsidR="003E73F0" w:rsidRPr="003E73F0">
        <w:rPr>
          <w:sz w:val="22"/>
          <w:lang w:val="en-GB"/>
        </w:rPr>
        <w:t xml:space="preserve">ergo therapist; </w:t>
      </w:r>
      <w:bookmarkStart w:id="17" w:name="part_5df00eec7299460184ca2f3e570e9f32"/>
      <w:bookmarkEnd w:id="17"/>
      <w:r w:rsidR="003E73F0" w:rsidRPr="003E73F0">
        <w:rPr>
          <w:sz w:val="22"/>
          <w:lang w:val="en-GB"/>
        </w:rPr>
        <w:t xml:space="preserve">guide; </w:t>
      </w:r>
      <w:bookmarkStart w:id="18" w:name="part_0cc6cdc2e8154824b2aec1fd864733be"/>
      <w:bookmarkEnd w:id="18"/>
      <w:r w:rsidR="003E73F0" w:rsidRPr="003E73F0">
        <w:rPr>
          <w:sz w:val="22"/>
          <w:lang w:val="en-GB"/>
        </w:rPr>
        <w:t xml:space="preserve">doctor’s dentist assistant; </w:t>
      </w:r>
      <w:bookmarkStart w:id="19" w:name="part_990d1691bdeb455c8a2eaa31fa1d9d30"/>
      <w:bookmarkEnd w:id="19"/>
      <w:r w:rsidR="003E73F0" w:rsidRPr="003E73F0">
        <w:rPr>
          <w:sz w:val="22"/>
          <w:lang w:val="en-GB"/>
        </w:rPr>
        <w:t xml:space="preserve">extended practice nurse; </w:t>
      </w:r>
      <w:bookmarkStart w:id="20" w:name="part_b37a10f44fe842e9b8f4731b914b22d2"/>
      <w:bookmarkEnd w:id="20"/>
      <w:proofErr w:type="spellStart"/>
      <w:r w:rsidR="003E73F0" w:rsidRPr="003E73F0">
        <w:rPr>
          <w:sz w:val="22"/>
          <w:lang w:val="en-GB"/>
        </w:rPr>
        <w:t>kinesiotherapist</w:t>
      </w:r>
      <w:proofErr w:type="spellEnd"/>
      <w:r w:rsidR="003E73F0" w:rsidRPr="003E73F0">
        <w:rPr>
          <w:sz w:val="22"/>
          <w:lang w:val="en-GB"/>
        </w:rPr>
        <w:t xml:space="preserve">; </w:t>
      </w:r>
      <w:bookmarkStart w:id="21" w:name="part_742366c18ae7482cafca8efb3952fe33"/>
      <w:bookmarkEnd w:id="21"/>
      <w:proofErr w:type="spellStart"/>
      <w:r w:rsidR="003E73F0" w:rsidRPr="003E73F0">
        <w:rPr>
          <w:sz w:val="22"/>
          <w:lang w:val="en-GB"/>
        </w:rPr>
        <w:t>logopedic</w:t>
      </w:r>
      <w:proofErr w:type="spellEnd"/>
      <w:r w:rsidR="003E73F0" w:rsidRPr="003E73F0">
        <w:rPr>
          <w:sz w:val="22"/>
          <w:lang w:val="en-GB"/>
        </w:rPr>
        <w:t xml:space="preserve">; </w:t>
      </w:r>
      <w:bookmarkStart w:id="22" w:name="part_a03b27f72f894598975840c5f48922ab"/>
      <w:bookmarkEnd w:id="22"/>
      <w:r w:rsidR="003E73F0" w:rsidRPr="003E73F0">
        <w:rPr>
          <w:sz w:val="22"/>
          <w:lang w:val="en-GB"/>
        </w:rPr>
        <w:t xml:space="preserve">masseur; </w:t>
      </w:r>
      <w:bookmarkStart w:id="23" w:name="part_cb79c1a0900e49d785c96e61256bfa9b"/>
      <w:bookmarkEnd w:id="23"/>
      <w:r w:rsidR="003E73F0" w:rsidRPr="003E73F0">
        <w:rPr>
          <w:sz w:val="22"/>
          <w:lang w:val="en-GB"/>
        </w:rPr>
        <w:t xml:space="preserve">doctor of medicine; </w:t>
      </w:r>
      <w:bookmarkStart w:id="24" w:name="part_0175b65a842b4cbaa057328b38521d87"/>
      <w:bookmarkEnd w:id="24"/>
      <w:r w:rsidR="003E73F0" w:rsidRPr="003E73F0">
        <w:rPr>
          <w:sz w:val="22"/>
          <w:lang w:val="en-GB"/>
        </w:rPr>
        <w:t>school psychologist</w:t>
      </w:r>
      <w:bookmarkStart w:id="25" w:name="part_6e89825a169848c79cd8bfefac369a75"/>
      <w:bookmarkEnd w:id="25"/>
      <w:r w:rsidR="003E73F0" w:rsidRPr="003E73F0">
        <w:rPr>
          <w:sz w:val="22"/>
          <w:lang w:val="en-GB"/>
        </w:rPr>
        <w:t xml:space="preserve">; teacher; </w:t>
      </w:r>
      <w:bookmarkStart w:id="26" w:name="part_de0f1dfc2a3142df91cb4dc0c13d64db"/>
      <w:bookmarkEnd w:id="26"/>
      <w:r w:rsidR="003E73F0" w:rsidRPr="003E73F0">
        <w:rPr>
          <w:sz w:val="22"/>
          <w:lang w:val="en-GB"/>
        </w:rPr>
        <w:t xml:space="preserve">dentist; </w:t>
      </w:r>
      <w:bookmarkStart w:id="27" w:name="part_661a0642956e4dad92a8cd2eeef8e8f6"/>
      <w:bookmarkEnd w:id="27"/>
      <w:r w:rsidR="003E73F0" w:rsidRPr="003E73F0">
        <w:rPr>
          <w:sz w:val="22"/>
          <w:lang w:val="en-GB"/>
        </w:rPr>
        <w:t xml:space="preserve">patent trustee; </w:t>
      </w:r>
      <w:bookmarkStart w:id="28" w:name="part_be67ab83b98b4d748cc7d23971038cce"/>
      <w:bookmarkEnd w:id="28"/>
      <w:r w:rsidR="003E73F0" w:rsidRPr="003E73F0">
        <w:rPr>
          <w:sz w:val="22"/>
          <w:lang w:val="en-GB"/>
        </w:rPr>
        <w:t xml:space="preserve">private detective;  </w:t>
      </w:r>
      <w:bookmarkStart w:id="29" w:name="part_8031e58b343b4feb98e04bf983179214"/>
      <w:bookmarkEnd w:id="29"/>
      <w:r w:rsidR="003E73F0" w:rsidRPr="003E73F0">
        <w:rPr>
          <w:sz w:val="22"/>
          <w:lang w:val="en-GB"/>
        </w:rPr>
        <w:t xml:space="preserve">vocational trainer; </w:t>
      </w:r>
      <w:bookmarkStart w:id="30" w:name="part_407687054eab4a38aea731b3ca1cf254"/>
      <w:bookmarkEnd w:id="30"/>
      <w:r w:rsidR="003E73F0" w:rsidRPr="003E73F0">
        <w:rPr>
          <w:sz w:val="22"/>
          <w:lang w:val="en-GB"/>
        </w:rPr>
        <w:t xml:space="preserve">restorer; </w:t>
      </w:r>
      <w:bookmarkStart w:id="31" w:name="part_d5a9de0e3a0343a28c6de33b23cc32cd"/>
      <w:bookmarkEnd w:id="31"/>
      <w:r w:rsidR="003E73F0" w:rsidRPr="003E73F0">
        <w:rPr>
          <w:sz w:val="22"/>
          <w:lang w:val="en-GB"/>
        </w:rPr>
        <w:t xml:space="preserve">restructuration administrator; social worker; </w:t>
      </w:r>
      <w:bookmarkStart w:id="32" w:name="part_7a5b204ee864458ca101d61b2362622d"/>
      <w:bookmarkEnd w:id="32"/>
      <w:r w:rsidR="003E73F0" w:rsidRPr="003E73F0">
        <w:rPr>
          <w:sz w:val="22"/>
          <w:lang w:val="en-GB"/>
        </w:rPr>
        <w:t xml:space="preserve">social educationalist; </w:t>
      </w:r>
      <w:bookmarkStart w:id="33" w:name="part_97a8fbd83f4e49e5a358d826d04e212a"/>
      <w:bookmarkEnd w:id="33"/>
      <w:r w:rsidR="003E73F0" w:rsidRPr="003E73F0">
        <w:rPr>
          <w:sz w:val="22"/>
          <w:lang w:val="en-GB"/>
        </w:rPr>
        <w:t xml:space="preserve">special educationalist; construction engineer; </w:t>
      </w:r>
      <w:proofErr w:type="spellStart"/>
      <w:r w:rsidR="003E73F0" w:rsidRPr="003E73F0">
        <w:rPr>
          <w:sz w:val="22"/>
          <w:lang w:val="en-GB"/>
        </w:rPr>
        <w:t>surdopedagogue</w:t>
      </w:r>
      <w:proofErr w:type="spellEnd"/>
      <w:r w:rsidR="003E73F0" w:rsidRPr="003E73F0">
        <w:rPr>
          <w:sz w:val="22"/>
          <w:lang w:val="en-GB"/>
        </w:rPr>
        <w:t xml:space="preserve">; </w:t>
      </w:r>
      <w:bookmarkStart w:id="34" w:name="part_aed262e917bc4933be315dee202520ae"/>
      <w:bookmarkEnd w:id="34"/>
      <w:proofErr w:type="spellStart"/>
      <w:r w:rsidR="003E73F0" w:rsidRPr="003E73F0">
        <w:rPr>
          <w:sz w:val="22"/>
          <w:lang w:val="en-GB"/>
        </w:rPr>
        <w:t>tiflopedagogue</w:t>
      </w:r>
      <w:proofErr w:type="spellEnd"/>
      <w:r w:rsidR="003E73F0" w:rsidRPr="003E73F0">
        <w:rPr>
          <w:sz w:val="22"/>
          <w:lang w:val="en-GB"/>
        </w:rPr>
        <w:t xml:space="preserve">; </w:t>
      </w:r>
      <w:bookmarkStart w:id="35" w:name="part_0fc41ac22f6148239a19fa729254d910"/>
      <w:bookmarkEnd w:id="35"/>
      <w:r w:rsidR="003E73F0" w:rsidRPr="003E73F0">
        <w:rPr>
          <w:sz w:val="22"/>
          <w:lang w:val="en-GB"/>
        </w:rPr>
        <w:t xml:space="preserve">asset or business valuator; </w:t>
      </w:r>
      <w:bookmarkStart w:id="36" w:name="part_f830713cbac44ef5ab6b50ef6f73285a"/>
      <w:bookmarkEnd w:id="36"/>
      <w:r w:rsidR="003E73F0" w:rsidRPr="003E73F0">
        <w:rPr>
          <w:sz w:val="22"/>
          <w:lang w:val="en-GB"/>
        </w:rPr>
        <w:t xml:space="preserve">pharmacist; pharmacist’s assistant (pharmacy technologist); </w:t>
      </w:r>
      <w:bookmarkStart w:id="37" w:name="part_681ac7abe36c45fabd5d93204312b847"/>
      <w:bookmarkEnd w:id="37"/>
      <w:r w:rsidR="003E73F0" w:rsidRPr="003E73F0">
        <w:rPr>
          <w:sz w:val="22"/>
          <w:lang w:val="en-GB"/>
        </w:rPr>
        <w:t xml:space="preserve">veterinary doctor’s assistant; </w:t>
      </w:r>
      <w:bookmarkStart w:id="38" w:name="part_55019c24897b466f9748b0b0daeff690"/>
      <w:bookmarkEnd w:id="38"/>
      <w:r w:rsidR="003E73F0" w:rsidRPr="003E73F0">
        <w:rPr>
          <w:sz w:val="22"/>
          <w:lang w:val="en-GB"/>
        </w:rPr>
        <w:t>veterinary doctor.</w:t>
      </w:r>
    </w:p>
    <w:p w:rsidR="007D6BBC" w:rsidRPr="003E73F0" w:rsidRDefault="007D6BBC" w:rsidP="004861A5">
      <w:pPr>
        <w:tabs>
          <w:tab w:val="left" w:pos="567"/>
        </w:tabs>
        <w:spacing w:after="0" w:line="240" w:lineRule="auto"/>
        <w:jc w:val="both"/>
        <w:rPr>
          <w:rFonts w:eastAsia="Times New Roman" w:cs="Times New Roman"/>
          <w:color w:val="000000"/>
          <w:sz w:val="22"/>
          <w:lang w:val="en-GB"/>
        </w:rPr>
      </w:pPr>
    </w:p>
    <w:p w:rsidR="007D6BBC" w:rsidRPr="003E73F0" w:rsidRDefault="007D6BBC" w:rsidP="004861A5">
      <w:pPr>
        <w:tabs>
          <w:tab w:val="left" w:pos="567"/>
        </w:tabs>
        <w:spacing w:after="0" w:line="240" w:lineRule="auto"/>
        <w:jc w:val="both"/>
        <w:rPr>
          <w:rFonts w:eastAsia="Times New Roman" w:cs="Times New Roman"/>
          <w:color w:val="000000"/>
          <w:sz w:val="22"/>
          <w:lang w:val="en-GB"/>
        </w:rPr>
      </w:pPr>
      <w:bookmarkStart w:id="39" w:name="_Hlk69110314"/>
      <w:bookmarkEnd w:id="39"/>
    </w:p>
    <w:sectPr w:rsidR="007D6BBC" w:rsidRPr="003E73F0" w:rsidSect="00A82AA9">
      <w:headerReference w:type="default" r:id="rId10"/>
      <w:pgSz w:w="11906" w:h="16838" w:code="9"/>
      <w:pgMar w:top="238" w:right="567" w:bottom="39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FC2" w:rsidRDefault="00864FC2" w:rsidP="00204BF2">
      <w:pPr>
        <w:spacing w:after="0" w:line="240" w:lineRule="auto"/>
      </w:pPr>
      <w:r>
        <w:separator/>
      </w:r>
    </w:p>
  </w:endnote>
  <w:endnote w:type="continuationSeparator" w:id="0">
    <w:p w:rsidR="00864FC2" w:rsidRDefault="00864FC2" w:rsidP="0020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FC2" w:rsidRDefault="00864FC2" w:rsidP="00204BF2">
      <w:pPr>
        <w:spacing w:after="0" w:line="240" w:lineRule="auto"/>
      </w:pPr>
      <w:r>
        <w:separator/>
      </w:r>
    </w:p>
  </w:footnote>
  <w:footnote w:type="continuationSeparator" w:id="0">
    <w:p w:rsidR="00864FC2" w:rsidRDefault="00864FC2" w:rsidP="00204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65475"/>
      <w:docPartObj>
        <w:docPartGallery w:val="Page Numbers (Top of Page)"/>
        <w:docPartUnique/>
      </w:docPartObj>
    </w:sdtPr>
    <w:sdtEndPr/>
    <w:sdtContent>
      <w:p w:rsidR="00204BF2" w:rsidRDefault="00204BF2">
        <w:pPr>
          <w:pStyle w:val="Antrats"/>
          <w:jc w:val="center"/>
        </w:pPr>
        <w:r>
          <w:fldChar w:fldCharType="begin"/>
        </w:r>
        <w:r>
          <w:instrText>PAGE   \* MERGEFORMAT</w:instrText>
        </w:r>
        <w:r>
          <w:fldChar w:fldCharType="separate"/>
        </w:r>
        <w:r w:rsidR="000B7E55">
          <w:rPr>
            <w:noProof/>
          </w:rPr>
          <w:t>2</w:t>
        </w:r>
        <w:r>
          <w:fldChar w:fldCharType="end"/>
        </w:r>
      </w:p>
    </w:sdtContent>
  </w:sdt>
  <w:p w:rsidR="00204BF2" w:rsidRDefault="00204B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7A1C"/>
    <w:multiLevelType w:val="hybridMultilevel"/>
    <w:tmpl w:val="9E129CEA"/>
    <w:lvl w:ilvl="0" w:tplc="279AC4C8">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0C9B"/>
    <w:multiLevelType w:val="multilevel"/>
    <w:tmpl w:val="A12C9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3B101484"/>
    <w:multiLevelType w:val="hybridMultilevel"/>
    <w:tmpl w:val="44DAF1CE"/>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06A1A"/>
    <w:multiLevelType w:val="hybridMultilevel"/>
    <w:tmpl w:val="3B241F5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3F0841"/>
    <w:multiLevelType w:val="hybridMultilevel"/>
    <w:tmpl w:val="86B4326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C7348C"/>
    <w:multiLevelType w:val="hybridMultilevel"/>
    <w:tmpl w:val="4466720C"/>
    <w:lvl w:ilvl="0" w:tplc="04090003">
      <w:start w:val="1"/>
      <w:numFmt w:val="bullet"/>
      <w:lvlText w:val="o"/>
      <w:lvlJc w:val="left"/>
      <w:pPr>
        <w:ind w:left="1097" w:hanging="360"/>
      </w:pPr>
      <w:rPr>
        <w:rFonts w:ascii="Courier New" w:hAnsi="Courier New" w:cs="Courier New"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8" w15:restartNumberingAfterBreak="0">
    <w:nsid w:val="57D420B7"/>
    <w:multiLevelType w:val="hybridMultilevel"/>
    <w:tmpl w:val="AF62D31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447F36"/>
    <w:multiLevelType w:val="hybridMultilevel"/>
    <w:tmpl w:val="33D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F6767"/>
    <w:multiLevelType w:val="hybridMultilevel"/>
    <w:tmpl w:val="F8B863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7F4612"/>
    <w:multiLevelType w:val="hybridMultilevel"/>
    <w:tmpl w:val="E4565370"/>
    <w:lvl w:ilvl="0" w:tplc="04090003">
      <w:start w:val="1"/>
      <w:numFmt w:val="bullet"/>
      <w:lvlText w:val="o"/>
      <w:lvlJc w:val="left"/>
      <w:pPr>
        <w:ind w:left="1136" w:hanging="360"/>
      </w:pPr>
      <w:rPr>
        <w:rFonts w:ascii="Courier New" w:hAnsi="Courier New" w:cs="Courier New"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2" w15:restartNumberingAfterBreak="0">
    <w:nsid w:val="7FAF25FA"/>
    <w:multiLevelType w:val="hybridMultilevel"/>
    <w:tmpl w:val="82BE34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1"/>
  </w:num>
  <w:num w:numId="4">
    <w:abstractNumId w:val="3"/>
  </w:num>
  <w:num w:numId="5">
    <w:abstractNumId w:val="12"/>
  </w:num>
  <w:num w:numId="6">
    <w:abstractNumId w:val="9"/>
  </w:num>
  <w:num w:numId="7">
    <w:abstractNumId w:val="0"/>
  </w:num>
  <w:num w:numId="8">
    <w:abstractNumId w:val="7"/>
  </w:num>
  <w:num w:numId="9">
    <w:abstractNumId w:val="1"/>
  </w:num>
  <w:num w:numId="10">
    <w:abstractNumId w:val="5"/>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CE1"/>
    <w:rsid w:val="00036377"/>
    <w:rsid w:val="00051A50"/>
    <w:rsid w:val="000A5359"/>
    <w:rsid w:val="000A536C"/>
    <w:rsid w:val="000A79F1"/>
    <w:rsid w:val="000B7E55"/>
    <w:rsid w:val="000F2166"/>
    <w:rsid w:val="001116B7"/>
    <w:rsid w:val="00122B87"/>
    <w:rsid w:val="0012508B"/>
    <w:rsid w:val="001662DE"/>
    <w:rsid w:val="00182C17"/>
    <w:rsid w:val="001B0234"/>
    <w:rsid w:val="001B5945"/>
    <w:rsid w:val="001E0850"/>
    <w:rsid w:val="00204BF2"/>
    <w:rsid w:val="002265AB"/>
    <w:rsid w:val="00231447"/>
    <w:rsid w:val="002628A1"/>
    <w:rsid w:val="002844F3"/>
    <w:rsid w:val="00295461"/>
    <w:rsid w:val="002966F1"/>
    <w:rsid w:val="002A1C48"/>
    <w:rsid w:val="002E2D7A"/>
    <w:rsid w:val="00313619"/>
    <w:rsid w:val="003506A0"/>
    <w:rsid w:val="0036188E"/>
    <w:rsid w:val="00363FB8"/>
    <w:rsid w:val="00375544"/>
    <w:rsid w:val="003856DC"/>
    <w:rsid w:val="00392461"/>
    <w:rsid w:val="003959BB"/>
    <w:rsid w:val="003B36F9"/>
    <w:rsid w:val="003D0AA4"/>
    <w:rsid w:val="003E4CCB"/>
    <w:rsid w:val="003E73F0"/>
    <w:rsid w:val="0041245F"/>
    <w:rsid w:val="00417E91"/>
    <w:rsid w:val="00446B2E"/>
    <w:rsid w:val="00477AF1"/>
    <w:rsid w:val="0048575A"/>
    <w:rsid w:val="004861A5"/>
    <w:rsid w:val="004F1A99"/>
    <w:rsid w:val="004F25B8"/>
    <w:rsid w:val="00511EFF"/>
    <w:rsid w:val="0053124A"/>
    <w:rsid w:val="00544158"/>
    <w:rsid w:val="0056081B"/>
    <w:rsid w:val="0057024E"/>
    <w:rsid w:val="005820C4"/>
    <w:rsid w:val="00585C56"/>
    <w:rsid w:val="00592E00"/>
    <w:rsid w:val="005B500A"/>
    <w:rsid w:val="00613373"/>
    <w:rsid w:val="00613A98"/>
    <w:rsid w:val="00626F86"/>
    <w:rsid w:val="006537AE"/>
    <w:rsid w:val="006712DF"/>
    <w:rsid w:val="0067225C"/>
    <w:rsid w:val="00692DB3"/>
    <w:rsid w:val="006B7463"/>
    <w:rsid w:val="006C0050"/>
    <w:rsid w:val="006D2763"/>
    <w:rsid w:val="006F3EAE"/>
    <w:rsid w:val="007266CC"/>
    <w:rsid w:val="0073155E"/>
    <w:rsid w:val="0074479F"/>
    <w:rsid w:val="007462D7"/>
    <w:rsid w:val="00757764"/>
    <w:rsid w:val="0079456F"/>
    <w:rsid w:val="007A15DB"/>
    <w:rsid w:val="007D6BBC"/>
    <w:rsid w:val="00807A81"/>
    <w:rsid w:val="008403D0"/>
    <w:rsid w:val="00864FC2"/>
    <w:rsid w:val="00885F54"/>
    <w:rsid w:val="008C593F"/>
    <w:rsid w:val="008D5917"/>
    <w:rsid w:val="00947136"/>
    <w:rsid w:val="009522E4"/>
    <w:rsid w:val="00961EEC"/>
    <w:rsid w:val="00962384"/>
    <w:rsid w:val="00966AEB"/>
    <w:rsid w:val="009F1EED"/>
    <w:rsid w:val="00A11EAF"/>
    <w:rsid w:val="00A2541C"/>
    <w:rsid w:val="00A6192C"/>
    <w:rsid w:val="00A82AA9"/>
    <w:rsid w:val="00A87585"/>
    <w:rsid w:val="00A92BB1"/>
    <w:rsid w:val="00A95610"/>
    <w:rsid w:val="00AA732B"/>
    <w:rsid w:val="00AB32CC"/>
    <w:rsid w:val="00AE7ECA"/>
    <w:rsid w:val="00B112C0"/>
    <w:rsid w:val="00B134AF"/>
    <w:rsid w:val="00B60BB6"/>
    <w:rsid w:val="00B67609"/>
    <w:rsid w:val="00BE65C3"/>
    <w:rsid w:val="00BF03A3"/>
    <w:rsid w:val="00C2248A"/>
    <w:rsid w:val="00C7238C"/>
    <w:rsid w:val="00CB504A"/>
    <w:rsid w:val="00CE1BCE"/>
    <w:rsid w:val="00D575EA"/>
    <w:rsid w:val="00D77DEA"/>
    <w:rsid w:val="00DB0A1F"/>
    <w:rsid w:val="00DB7CBF"/>
    <w:rsid w:val="00DC1695"/>
    <w:rsid w:val="00DF42E8"/>
    <w:rsid w:val="00E14A35"/>
    <w:rsid w:val="00E25E17"/>
    <w:rsid w:val="00E3502F"/>
    <w:rsid w:val="00E5105A"/>
    <w:rsid w:val="00E84F3A"/>
    <w:rsid w:val="00ED4C76"/>
    <w:rsid w:val="00EF36F1"/>
    <w:rsid w:val="00F11189"/>
    <w:rsid w:val="00F14F20"/>
    <w:rsid w:val="00F214FF"/>
    <w:rsid w:val="00F57053"/>
    <w:rsid w:val="00F63805"/>
    <w:rsid w:val="00F825C2"/>
    <w:rsid w:val="00FF58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B9992-C306-4B6D-A115-E35122BB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204BF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04BF2"/>
  </w:style>
  <w:style w:type="paragraph" w:styleId="Porat">
    <w:name w:val="footer"/>
    <w:basedOn w:val="prastasis"/>
    <w:link w:val="PoratDiagrama"/>
    <w:uiPriority w:val="99"/>
    <w:unhideWhenUsed/>
    <w:rsid w:val="00204BF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04BF2"/>
  </w:style>
  <w:style w:type="paragraph" w:styleId="Sraopastraipa">
    <w:name w:val="List Paragraph"/>
    <w:basedOn w:val="prastasis"/>
    <w:uiPriority w:val="34"/>
    <w:qFormat/>
    <w:rsid w:val="00F14F20"/>
    <w:pPr>
      <w:ind w:left="720"/>
      <w:contextualSpacing/>
    </w:pPr>
  </w:style>
  <w:style w:type="character" w:styleId="Hipersaitas">
    <w:name w:val="Hyperlink"/>
    <w:basedOn w:val="Numatytasispastraiposriftas"/>
    <w:uiPriority w:val="99"/>
    <w:unhideWhenUsed/>
    <w:rsid w:val="007D6B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1600">
      <w:bodyDiv w:val="1"/>
      <w:marLeft w:val="0"/>
      <w:marRight w:val="0"/>
      <w:marTop w:val="0"/>
      <w:marBottom w:val="0"/>
      <w:divBdr>
        <w:top w:val="none" w:sz="0" w:space="0" w:color="auto"/>
        <w:left w:val="none" w:sz="0" w:space="0" w:color="auto"/>
        <w:bottom w:val="none" w:sz="0" w:space="0" w:color="auto"/>
        <w:right w:val="none" w:sz="0" w:space="0" w:color="auto"/>
      </w:divBdr>
    </w:div>
    <w:div w:id="240333885">
      <w:bodyDiv w:val="1"/>
      <w:marLeft w:val="0"/>
      <w:marRight w:val="0"/>
      <w:marTop w:val="0"/>
      <w:marBottom w:val="0"/>
      <w:divBdr>
        <w:top w:val="none" w:sz="0" w:space="0" w:color="auto"/>
        <w:left w:val="none" w:sz="0" w:space="0" w:color="auto"/>
        <w:bottom w:val="none" w:sz="0" w:space="0" w:color="auto"/>
        <w:right w:val="none" w:sz="0" w:space="0" w:color="auto"/>
      </w:divBdr>
    </w:div>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460267694">
      <w:bodyDiv w:val="1"/>
      <w:marLeft w:val="0"/>
      <w:marRight w:val="0"/>
      <w:marTop w:val="0"/>
      <w:marBottom w:val="0"/>
      <w:divBdr>
        <w:top w:val="none" w:sz="0" w:space="0" w:color="auto"/>
        <w:left w:val="none" w:sz="0" w:space="0" w:color="auto"/>
        <w:bottom w:val="none" w:sz="0" w:space="0" w:color="auto"/>
        <w:right w:val="none" w:sz="0" w:space="0" w:color="auto"/>
      </w:divBdr>
    </w:div>
    <w:div w:id="676033593">
      <w:bodyDiv w:val="1"/>
      <w:marLeft w:val="0"/>
      <w:marRight w:val="0"/>
      <w:marTop w:val="0"/>
      <w:marBottom w:val="0"/>
      <w:divBdr>
        <w:top w:val="none" w:sz="0" w:space="0" w:color="auto"/>
        <w:left w:val="none" w:sz="0" w:space="0" w:color="auto"/>
        <w:bottom w:val="none" w:sz="0" w:space="0" w:color="auto"/>
        <w:right w:val="none" w:sz="0" w:space="0" w:color="auto"/>
      </w:divBdr>
    </w:div>
    <w:div w:id="889615973">
      <w:bodyDiv w:val="1"/>
      <w:marLeft w:val="0"/>
      <w:marRight w:val="0"/>
      <w:marTop w:val="0"/>
      <w:marBottom w:val="0"/>
      <w:divBdr>
        <w:top w:val="none" w:sz="0" w:space="0" w:color="auto"/>
        <w:left w:val="none" w:sz="0" w:space="0" w:color="auto"/>
        <w:bottom w:val="none" w:sz="0" w:space="0" w:color="auto"/>
        <w:right w:val="none" w:sz="0" w:space="0" w:color="auto"/>
      </w:divBdr>
    </w:div>
    <w:div w:id="104571735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gracija.lrv.lt/lt/paslaugos/elektronines-paslaugos/prasymu-formos/prasymas-leisti-pakeisti-darbdavi-arba-darbo-funkcija-pas-ta-pati-darbdavi"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3060</Words>
  <Characters>1745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2019-02-20T12:46:00Z</cp:lastPrinted>
  <dcterms:created xsi:type="dcterms:W3CDTF">2021-04-12T05:42:00Z</dcterms:created>
  <dcterms:modified xsi:type="dcterms:W3CDTF">2024-06-18T16:58:00Z</dcterms:modified>
</cp:coreProperties>
</file>