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33" w:rsidRPr="00554533" w:rsidRDefault="00554533" w:rsidP="00554533">
      <w:pPr>
        <w:pStyle w:val="Pagrindinistekstas3"/>
        <w:spacing w:line="240" w:lineRule="auto"/>
        <w:ind w:firstLine="0"/>
        <w:jc w:val="center"/>
        <w:rPr>
          <w:b/>
          <w:color w:val="auto"/>
          <w:sz w:val="24"/>
          <w:szCs w:val="24"/>
        </w:rPr>
      </w:pPr>
      <w:r>
        <w:rPr>
          <w:rStyle w:val="tlid-translation"/>
          <w:b/>
          <w:sz w:val="24"/>
          <w:szCs w:val="24"/>
          <w:lang w:val="en"/>
        </w:rPr>
        <w:t>Foreigner</w:t>
      </w:r>
      <w:r w:rsidRPr="00554533">
        <w:rPr>
          <w:rStyle w:val="tlid-translation"/>
          <w:b/>
          <w:sz w:val="24"/>
          <w:szCs w:val="24"/>
          <w:lang w:val="en"/>
        </w:rPr>
        <w:t xml:space="preserve"> who enters the Republic of Lithuania in accordance with the provisions of international treaties to which the Republic of Lithuania is a participant</w:t>
      </w:r>
      <w:r w:rsidRPr="00554533">
        <w:rPr>
          <w:b/>
          <w:color w:val="auto"/>
          <w:sz w:val="24"/>
          <w:szCs w:val="24"/>
        </w:rPr>
        <w:t xml:space="preserve"> </w:t>
      </w:r>
    </w:p>
    <w:p w:rsidR="00554533" w:rsidRPr="00554533" w:rsidRDefault="00554533" w:rsidP="00554533">
      <w:pPr>
        <w:pStyle w:val="Pagrindinistekstas3"/>
        <w:spacing w:line="240" w:lineRule="auto"/>
        <w:ind w:firstLine="0"/>
        <w:jc w:val="center"/>
        <w:rPr>
          <w:sz w:val="32"/>
          <w:szCs w:val="24"/>
        </w:rPr>
      </w:pPr>
      <w:r w:rsidRPr="00554533">
        <w:rPr>
          <w:rStyle w:val="tlid-translation"/>
          <w:sz w:val="24"/>
          <w:lang w:val="en"/>
        </w:rPr>
        <w:t>(Article 70.17 of the Visa Procedure)</w:t>
      </w:r>
    </w:p>
    <w:p w:rsidR="00554533" w:rsidRPr="00403CA7" w:rsidRDefault="00554533" w:rsidP="00554533">
      <w:pPr>
        <w:pStyle w:val="Pagrindinistekstas3"/>
        <w:spacing w:line="240" w:lineRule="auto"/>
        <w:jc w:val="center"/>
        <w:rPr>
          <w:b/>
          <w:color w:val="auto"/>
          <w:sz w:val="16"/>
          <w:szCs w:val="24"/>
        </w:rPr>
      </w:pPr>
    </w:p>
    <w:p w:rsidR="00554533" w:rsidRPr="00554533" w:rsidRDefault="00554533" w:rsidP="00554533">
      <w:pPr>
        <w:pStyle w:val="Pagrindinistekstas3"/>
        <w:spacing w:line="240" w:lineRule="auto"/>
        <w:ind w:firstLine="0"/>
        <w:rPr>
          <w:sz w:val="16"/>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p w:rsidR="00554533" w:rsidRPr="00403CA7" w:rsidRDefault="00554533" w:rsidP="00554533">
      <w:pPr>
        <w:pStyle w:val="Pagrindinistekstas3"/>
        <w:spacing w:line="240" w:lineRule="auto"/>
        <w:ind w:firstLine="0"/>
        <w:rPr>
          <w:b/>
          <w:sz w:val="16"/>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554533" w:rsidRPr="009C25C5" w:rsidTr="003510AA">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6D3FED" w:rsidRDefault="00554533" w:rsidP="003510AA">
            <w:pPr>
              <w:jc w:val="center"/>
              <w:rPr>
                <w:b/>
                <w:szCs w:val="24"/>
              </w:rPr>
            </w:pPr>
            <w:r w:rsidRPr="006D3FED">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54533" w:rsidRPr="00294591" w:rsidRDefault="00554533" w:rsidP="003510AA">
            <w:pPr>
              <w:pStyle w:val="Pagrindinistekstas3"/>
              <w:spacing w:line="240" w:lineRule="auto"/>
              <w:ind w:firstLine="0"/>
              <w:rPr>
                <w:sz w:val="24"/>
                <w:szCs w:val="24"/>
                <w:lang w:eastAsia="lt-LT"/>
              </w:rPr>
            </w:pPr>
            <w:r w:rsidRPr="00294591">
              <w:rPr>
                <w:rStyle w:val="tlid-translation"/>
                <w:b/>
                <w:sz w:val="24"/>
                <w:szCs w:val="24"/>
                <w:lang w:val="en"/>
              </w:rPr>
              <w:t>The number of the mediation letter</w:t>
            </w:r>
            <w:r w:rsidRPr="00294591">
              <w:rPr>
                <w:rStyle w:val="tlid-translation"/>
                <w:sz w:val="24"/>
                <w:szCs w:val="24"/>
                <w:lang w:val="en"/>
              </w:rPr>
              <w:t xml:space="preserve"> submitted by the foreigner electronically on the issue of the multiple national visa___________________________________________________.</w:t>
            </w:r>
          </w:p>
          <w:p w:rsidR="00554533" w:rsidRPr="00294591" w:rsidRDefault="00554533" w:rsidP="003510AA">
            <w:pPr>
              <w:pStyle w:val="Pagrindinistekstas3"/>
              <w:spacing w:line="240" w:lineRule="auto"/>
              <w:ind w:firstLine="0"/>
              <w:rPr>
                <w:sz w:val="24"/>
                <w:szCs w:val="24"/>
                <w:lang w:eastAsia="lt-LT"/>
              </w:rPr>
            </w:pPr>
          </w:p>
          <w:p w:rsidR="00554533" w:rsidRPr="006D3FED" w:rsidRDefault="00554533" w:rsidP="003510AA">
            <w:pPr>
              <w:pStyle w:val="Pagrindinistekstas3"/>
              <w:spacing w:line="240" w:lineRule="auto"/>
              <w:ind w:firstLine="0"/>
              <w:rPr>
                <w:szCs w:val="24"/>
                <w:lang w:eastAsia="lt-LT"/>
              </w:rPr>
            </w:pPr>
            <w:r w:rsidRPr="00294591">
              <w:rPr>
                <w:rStyle w:val="tlid-translation"/>
                <w:b/>
                <w:sz w:val="24"/>
                <w:szCs w:val="24"/>
                <w:lang w:val="en"/>
              </w:rPr>
              <w:t>The mediation letter</w:t>
            </w:r>
            <w:r w:rsidRPr="00294591">
              <w:rPr>
                <w:rStyle w:val="tlid-translation"/>
                <w:sz w:val="24"/>
                <w:szCs w:val="24"/>
                <w:lang w:val="en"/>
              </w:rPr>
              <w:t xml:space="preserve"> is provided through the Public Service, related to the issue of personal and other documents, counseling, Information System for Citizens and Foreigners in the Republic of Lithuania (EPIS).</w:t>
            </w:r>
            <w:r w:rsidRPr="00AF2009">
              <w:rPr>
                <w:sz w:val="24"/>
                <w:szCs w:val="24"/>
              </w:rPr>
              <w:t xml:space="preserve"> </w:t>
            </w:r>
          </w:p>
        </w:tc>
      </w:tr>
    </w:tbl>
    <w:p w:rsidR="00554533" w:rsidRDefault="00554533" w:rsidP="00554533">
      <w:pPr>
        <w:pStyle w:val="Pagrindinistekstas3"/>
        <w:spacing w:line="240" w:lineRule="auto"/>
        <w:ind w:firstLine="0"/>
        <w:rPr>
          <w:b/>
          <w:lang w:val="en" w:eastAsia="lt-LT"/>
        </w:rPr>
      </w:pPr>
    </w:p>
    <w:p w:rsidR="00554533" w:rsidRPr="00554533" w:rsidRDefault="00554533" w:rsidP="00554533">
      <w:pPr>
        <w:pStyle w:val="Pagrindinistekstas3"/>
        <w:spacing w:line="240" w:lineRule="auto"/>
        <w:ind w:firstLine="0"/>
        <w:rPr>
          <w:sz w:val="24"/>
          <w:szCs w:val="24"/>
          <w:lang w:val="en" w:eastAsia="lt-LT"/>
        </w:rPr>
      </w:pPr>
      <w:r w:rsidRPr="00554533">
        <w:rPr>
          <w:b/>
          <w:sz w:val="24"/>
          <w:szCs w:val="24"/>
          <w:lang w:val="en" w:eastAsia="lt-LT"/>
        </w:rPr>
        <w:t xml:space="preserve">Documents submitted by the foreigner </w:t>
      </w:r>
      <w:r w:rsidRPr="00554533">
        <w:rPr>
          <w:sz w:val="24"/>
          <w:szCs w:val="24"/>
          <w:lang w:val="en" w:eastAsia="lt-LT"/>
        </w:rPr>
        <w:t>for multiple-entry national visas:</w:t>
      </w:r>
    </w:p>
    <w:p w:rsidR="00554533" w:rsidRPr="009C25C5" w:rsidRDefault="00554533" w:rsidP="005206D7">
      <w:pPr>
        <w:pStyle w:val="Pagrindinistekstas3"/>
        <w:spacing w:line="240" w:lineRule="auto"/>
        <w:ind w:firstLine="0"/>
        <w:jc w:val="center"/>
        <w:rPr>
          <w:sz w:val="24"/>
          <w:szCs w:val="24"/>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554533" w:rsidRPr="009C25C5" w:rsidTr="00D0187F">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A30A8F" w:rsidRDefault="00554533" w:rsidP="003510AA">
            <w:pPr>
              <w:jc w:val="both"/>
              <w:rPr>
                <w:color w:val="1C1C1C"/>
                <w:lang w:val="en-GB"/>
              </w:rPr>
            </w:pPr>
            <w:r w:rsidRPr="00A30A8F">
              <w:rPr>
                <w:color w:val="1C1C1C"/>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A30A8F" w:rsidRDefault="00554533" w:rsidP="003510AA">
            <w:pPr>
              <w:jc w:val="both"/>
              <w:rPr>
                <w:rStyle w:val="tlid-translation"/>
                <w:lang w:val="en"/>
              </w:rPr>
            </w:pPr>
            <w:proofErr w:type="gramStart"/>
            <w:r w:rsidRPr="00294591">
              <w:rPr>
                <w:rStyle w:val="tlid-translation"/>
                <w:b/>
                <w:lang w:val="en"/>
              </w:rPr>
              <w:t>an</w:t>
            </w:r>
            <w:proofErr w:type="gramEnd"/>
            <w:r w:rsidRPr="00294591">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554533" w:rsidRPr="00A30A8F" w:rsidRDefault="00554533" w:rsidP="003510AA">
            <w:pPr>
              <w:jc w:val="both"/>
              <w:rPr>
                <w:color w:val="1C1C1C"/>
                <w:lang w:val="en-GB"/>
              </w:rPr>
            </w:pPr>
            <w:r w:rsidRPr="00A30A8F">
              <w:rPr>
                <w:rStyle w:val="tlid-translation"/>
                <w:lang w:val="en"/>
              </w:rPr>
              <w:t>The application for a national visa can be completed on the website https://visa.vrm.lt/epm/;</w:t>
            </w:r>
          </w:p>
        </w:tc>
      </w:tr>
      <w:tr w:rsidR="00554533" w:rsidRPr="009C25C5" w:rsidTr="009025A3">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Default="00554533"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A30A8F" w:rsidRDefault="00554533" w:rsidP="003510AA">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554533" w:rsidRPr="009C25C5" w:rsidTr="009025A3">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Default="00554533"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A30A8F" w:rsidRDefault="00554533" w:rsidP="003510AA">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554533" w:rsidRPr="009C25C5"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4533" w:rsidRPr="009C25C5" w:rsidRDefault="00554533" w:rsidP="003510AA">
            <w:pPr>
              <w:jc w:val="center"/>
              <w:rPr>
                <w:szCs w:val="24"/>
              </w:rPr>
            </w:pPr>
            <w:r w:rsidRPr="009C25C5">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54533" w:rsidRPr="001379A3" w:rsidRDefault="00820BDA" w:rsidP="003510AA">
            <w:pPr>
              <w:ind w:left="33"/>
              <w:jc w:val="both"/>
              <w:rPr>
                <w:szCs w:val="24"/>
                <w:lang w:eastAsia="lt-LT"/>
              </w:rPr>
            </w:pPr>
            <w:proofErr w:type="gramStart"/>
            <w:r w:rsidRPr="001379A3">
              <w:rPr>
                <w:rStyle w:val="tlid-translation"/>
                <w:b/>
                <w:szCs w:val="24"/>
                <w:lang w:val="en"/>
              </w:rPr>
              <w:t>documents</w:t>
            </w:r>
            <w:proofErr w:type="gramEnd"/>
            <w:r w:rsidRPr="001379A3">
              <w:rPr>
                <w:rStyle w:val="tlid-translation"/>
                <w:b/>
                <w:szCs w:val="24"/>
                <w:lang w:val="en"/>
              </w:rPr>
              <w:t xml:space="preserve"> specified </w:t>
            </w:r>
            <w:r w:rsidRPr="001379A3">
              <w:rPr>
                <w:rStyle w:val="tlid-translation"/>
                <w:szCs w:val="24"/>
                <w:lang w:val="en"/>
              </w:rPr>
              <w:t>in the international treaty, or, if not specified, documents confirming the purpose and conditions of entry specified in the international agreement.</w:t>
            </w:r>
          </w:p>
          <w:p w:rsidR="00554533" w:rsidRPr="00403CA7" w:rsidRDefault="00820BDA" w:rsidP="003510AA">
            <w:pPr>
              <w:pStyle w:val="Default"/>
              <w:jc w:val="both"/>
              <w:rPr>
                <w:sz w:val="6"/>
                <w:szCs w:val="20"/>
              </w:rPr>
            </w:pPr>
            <w:r w:rsidRPr="001379A3">
              <w:rPr>
                <w:rStyle w:val="tlid-translation"/>
                <w:lang w:val="en"/>
              </w:rPr>
              <w:t>The Government of the Republic of Lithuania and the Government of Canada have signed an agreement on youth exchanges with the Government of New Zealand and the Government of Japan - Agreements on work holiday programs</w:t>
            </w:r>
            <w:r w:rsidR="00554533" w:rsidRPr="001379A3">
              <w:rPr>
                <w:color w:val="auto"/>
              </w:rPr>
              <w:t>.</w:t>
            </w:r>
            <w:r w:rsidR="00554533" w:rsidRPr="00403CA7">
              <w:rPr>
                <w:color w:val="auto"/>
                <w:sz w:val="22"/>
                <w:szCs w:val="20"/>
              </w:rPr>
              <w:t xml:space="preserve"> </w:t>
            </w:r>
            <w:r w:rsidR="001379A3">
              <w:rPr>
                <w:rStyle w:val="tlid-translation"/>
                <w:lang w:val="en"/>
              </w:rPr>
              <w:t>The Youth Exchange Program (work on holiday) is open to nationals of the Contracting States and may be subject to multiple national visas for a maximum period of 12 months under these agreements.</w:t>
            </w:r>
          </w:p>
          <w:p w:rsidR="00554533" w:rsidRPr="00403CA7" w:rsidRDefault="00554533" w:rsidP="003510AA">
            <w:pPr>
              <w:pStyle w:val="Default"/>
              <w:jc w:val="both"/>
              <w:rPr>
                <w:color w:val="auto"/>
                <w:sz w:val="22"/>
                <w:szCs w:val="20"/>
              </w:rPr>
            </w:pPr>
            <w:r w:rsidRPr="00403CA7">
              <w:rPr>
                <w:sz w:val="28"/>
              </w:rPr>
              <w:t xml:space="preserve"> </w:t>
            </w:r>
            <w:r w:rsidR="001379A3" w:rsidRPr="001379A3">
              <w:rPr>
                <w:rStyle w:val="tlid-translation"/>
                <w:b/>
                <w:lang w:val="en"/>
              </w:rPr>
              <w:t>According to the agreement between the Government of the Republic of Lithuania and the Government of Canada</w:t>
            </w:r>
            <w:r w:rsidR="001379A3">
              <w:rPr>
                <w:rStyle w:val="tlid-translation"/>
                <w:lang w:val="en"/>
              </w:rPr>
              <w:t xml:space="preserve"> on youth exchanges, Canadian citizens who are</w:t>
            </w:r>
            <w:r w:rsidRPr="00403CA7">
              <w:rPr>
                <w:color w:val="auto"/>
                <w:sz w:val="22"/>
                <w:szCs w:val="20"/>
              </w:rPr>
              <w:t>:</w:t>
            </w:r>
          </w:p>
          <w:p w:rsidR="001379A3" w:rsidRDefault="00554533" w:rsidP="003510AA">
            <w:pPr>
              <w:ind w:firstLine="567"/>
              <w:jc w:val="both"/>
              <w:rPr>
                <w:rStyle w:val="tlid-translation"/>
                <w:lang w:val="en"/>
              </w:rPr>
            </w:pPr>
            <w:r w:rsidRPr="00403CA7">
              <w:rPr>
                <w:spacing w:val="-6"/>
                <w:sz w:val="22"/>
              </w:rPr>
              <w:t xml:space="preserve">– </w:t>
            </w:r>
            <w:r w:rsidR="001379A3">
              <w:rPr>
                <w:rStyle w:val="tlid-translation"/>
                <w:lang w:val="en"/>
              </w:rPr>
              <w:t>young citizens, including graduates of university and non-university higher education institutions or research institutions, wishing to improve their qualifications in the host country under a pre-agreed employment contract in order to gain greater career prospects and show that they have a pre-agreed employment contract;</w:t>
            </w:r>
          </w:p>
          <w:p w:rsidR="00554533" w:rsidRPr="00403CA7" w:rsidRDefault="00554533" w:rsidP="003510AA">
            <w:pPr>
              <w:ind w:firstLine="567"/>
              <w:jc w:val="both"/>
              <w:rPr>
                <w:sz w:val="22"/>
              </w:rPr>
            </w:pPr>
            <w:r w:rsidRPr="00403CA7">
              <w:rPr>
                <w:color w:val="000000"/>
                <w:sz w:val="22"/>
              </w:rPr>
              <w:t xml:space="preserve">– </w:t>
            </w:r>
            <w:r w:rsidR="001379A3">
              <w:rPr>
                <w:rStyle w:val="tlid-translation"/>
                <w:lang w:val="en"/>
              </w:rPr>
              <w:t>registered students of university and non-university higher education institutions or research institutions in their country wishing to take part in their academic study program as a pre-agreed placement or work placement in the host country, including under contracts concluded between educational institutions and providing documents proving prior registration or registration at a university, non-university higher education institution or research establishment or demonstrating that an internship or work experience is taking place;</w:t>
            </w:r>
          </w:p>
          <w:p w:rsidR="00554533" w:rsidRPr="00403CA7" w:rsidRDefault="00554533" w:rsidP="003510AA">
            <w:pPr>
              <w:ind w:firstLine="567"/>
              <w:jc w:val="both"/>
              <w:rPr>
                <w:sz w:val="22"/>
              </w:rPr>
            </w:pPr>
            <w:r w:rsidRPr="00403CA7">
              <w:rPr>
                <w:color w:val="000000"/>
                <w:sz w:val="22"/>
              </w:rPr>
              <w:t xml:space="preserve">– </w:t>
            </w:r>
            <w:r w:rsidR="001379A3">
              <w:rPr>
                <w:rStyle w:val="tlid-translation"/>
                <w:lang w:val="en"/>
              </w:rPr>
              <w:t>Young citizens, including registered students who intend to travel in the host country, where their presence is related to tourism and cultural cognitive activities and occasionally work to supplement their financial resources and confirm their intentions.</w:t>
            </w:r>
          </w:p>
          <w:p w:rsidR="00554533" w:rsidRPr="00403CA7" w:rsidRDefault="001379A3" w:rsidP="003510AA">
            <w:pPr>
              <w:pStyle w:val="Default"/>
              <w:ind w:firstLine="567"/>
              <w:jc w:val="both"/>
              <w:rPr>
                <w:sz w:val="22"/>
                <w:szCs w:val="20"/>
              </w:rPr>
            </w:pPr>
            <w:r>
              <w:rPr>
                <w:rStyle w:val="tlid-translation"/>
                <w:lang w:val="en"/>
              </w:rPr>
              <w:t>The Youth Exchanges program can be attended up to two times and only if citizens meet the requirements of the two different categories listed.</w:t>
            </w:r>
            <w:r w:rsidR="00554533" w:rsidRPr="00403CA7">
              <w:rPr>
                <w:sz w:val="22"/>
                <w:szCs w:val="20"/>
              </w:rPr>
              <w:t xml:space="preserve"> </w:t>
            </w:r>
            <w:r>
              <w:rPr>
                <w:rStyle w:val="tlid-translation"/>
                <w:lang w:val="en"/>
              </w:rPr>
              <w:t>The periods of stay must be interrupted. The duration of each stay may not exceed one year.</w:t>
            </w:r>
          </w:p>
          <w:p w:rsidR="00554533" w:rsidRPr="001379A3" w:rsidRDefault="001379A3" w:rsidP="001379A3">
            <w:pPr>
              <w:rPr>
                <w:szCs w:val="24"/>
                <w:lang w:eastAsia="lt-LT"/>
              </w:rPr>
            </w:pPr>
            <w:r>
              <w:rPr>
                <w:rStyle w:val="tlid-translation"/>
                <w:lang w:val="en"/>
              </w:rPr>
              <w:lastRenderedPageBreak/>
              <w:t>Citizens of Canada intending to enter the Republic of Lithuania under the Youth Exchange Program at the time of application for a national visa must be 18 - 35 years old. age; have a valid passport and return ticket or have sufficient financial resources to buy it; to go to the Republic of Lithuania alone (without dependents);</w:t>
            </w:r>
            <w:r w:rsidR="00554533" w:rsidRPr="00403CA7">
              <w:rPr>
                <w:sz w:val="22"/>
              </w:rPr>
              <w:t xml:space="preserve"> </w:t>
            </w:r>
            <w:r w:rsidRPr="001379A3">
              <w:rPr>
                <w:szCs w:val="24"/>
                <w:lang w:val="en" w:eastAsia="lt-LT"/>
              </w:rPr>
              <w:t>prove that you have sufficient financial resources to meet your needs at the start of your stay; pay all established fees; have health insurance for the entire period of stay in Lithuania.</w:t>
            </w:r>
          </w:p>
          <w:p w:rsidR="00554533" w:rsidRDefault="001379A3" w:rsidP="003510AA">
            <w:pPr>
              <w:pStyle w:val="Default"/>
              <w:ind w:firstLine="567"/>
              <w:jc w:val="both"/>
              <w:rPr>
                <w:sz w:val="22"/>
                <w:szCs w:val="20"/>
              </w:rPr>
            </w:pPr>
            <w:r>
              <w:rPr>
                <w:rStyle w:val="tlid-translation"/>
                <w:lang w:val="en"/>
              </w:rPr>
              <w:t>Temporary residence permits and work permits during their legal stay may be issued to Canadian citizens who have the right to benefit from the Youth Exchange Program and who hold a multiple national visa issued on that basis upon their arrival in the Republic of Lithuania.</w:t>
            </w:r>
          </w:p>
          <w:p w:rsidR="00554533" w:rsidRPr="00403CA7" w:rsidRDefault="00554533" w:rsidP="003510AA">
            <w:pPr>
              <w:pStyle w:val="Default"/>
              <w:ind w:firstLine="567"/>
              <w:jc w:val="both"/>
              <w:rPr>
                <w:sz w:val="6"/>
                <w:szCs w:val="20"/>
              </w:rPr>
            </w:pPr>
          </w:p>
          <w:p w:rsidR="00554533" w:rsidRPr="00403CA7" w:rsidRDefault="00554533" w:rsidP="00CD402B">
            <w:pPr>
              <w:pStyle w:val="Default"/>
              <w:jc w:val="both"/>
              <w:rPr>
                <w:sz w:val="22"/>
                <w:szCs w:val="20"/>
              </w:rPr>
            </w:pPr>
            <w:r w:rsidRPr="00403CA7">
              <w:rPr>
                <w:sz w:val="28"/>
              </w:rPr>
              <w:t xml:space="preserve"> </w:t>
            </w:r>
            <w:r w:rsidR="00CD402B" w:rsidRPr="00CD402B">
              <w:rPr>
                <w:rStyle w:val="tlid-translation"/>
                <w:b/>
                <w:lang w:val="en"/>
              </w:rPr>
              <w:t>According to the agreement between the Government of the Republic of Lithuania</w:t>
            </w:r>
            <w:r w:rsidR="00CD402B">
              <w:rPr>
                <w:rStyle w:val="tlid-translation"/>
                <w:lang w:val="en"/>
              </w:rPr>
              <w:t xml:space="preserve"> and the Government of New Zealand on working on a holiday program, citizens of New Zealand who wish to vacation may enter the Republic of Lithuania while having the opportunity to study and gain work experience</w:t>
            </w:r>
            <w:r w:rsidRPr="00403CA7">
              <w:rPr>
                <w:color w:val="auto"/>
                <w:sz w:val="22"/>
                <w:szCs w:val="20"/>
              </w:rPr>
              <w:t>:</w:t>
            </w:r>
          </w:p>
          <w:p w:rsidR="00CD402B" w:rsidRDefault="00554533" w:rsidP="003510AA">
            <w:pPr>
              <w:pStyle w:val="Default"/>
              <w:ind w:firstLine="567"/>
              <w:jc w:val="both"/>
              <w:rPr>
                <w:rStyle w:val="tlid-translation"/>
                <w:lang w:val="en"/>
              </w:rPr>
            </w:pPr>
            <w:r w:rsidRPr="00403CA7">
              <w:rPr>
                <w:color w:val="auto"/>
                <w:sz w:val="22"/>
                <w:szCs w:val="20"/>
              </w:rPr>
              <w:t xml:space="preserve">– </w:t>
            </w:r>
            <w:r w:rsidR="00CD402B">
              <w:rPr>
                <w:rStyle w:val="tlid-translation"/>
                <w:lang w:val="en"/>
              </w:rPr>
              <w:t>the date of application is 18 to 30 years old;</w:t>
            </w:r>
          </w:p>
          <w:p w:rsidR="00CD402B" w:rsidRDefault="00CD402B" w:rsidP="00CD402B">
            <w:pPr>
              <w:pStyle w:val="Default"/>
              <w:ind w:left="567"/>
              <w:jc w:val="both"/>
              <w:rPr>
                <w:rStyle w:val="tlid-translation"/>
                <w:lang w:val="en"/>
              </w:rPr>
            </w:pPr>
            <w:r w:rsidRPr="00403CA7">
              <w:rPr>
                <w:color w:val="auto"/>
                <w:sz w:val="22"/>
                <w:szCs w:val="20"/>
              </w:rPr>
              <w:t>–</w:t>
            </w:r>
            <w:r>
              <w:rPr>
                <w:rStyle w:val="tlid-translation"/>
                <w:lang w:val="en"/>
              </w:rPr>
              <w:t>have a valid travel document issued for the last 10 years, which is at least 3 months longer than the period of validity of the visa requested;</w:t>
            </w:r>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291D64">
              <w:rPr>
                <w:rStyle w:val="tlid-translation"/>
                <w:lang w:val="en"/>
              </w:rPr>
              <w:t>points out that the main purpose of a trip to the Republic of Lithuania is to take part in a holiday program, i.e.  leave, and work or study is not the main reason for the visit;</w:t>
            </w:r>
            <w:bookmarkStart w:id="0" w:name="part_566d598a9b80406db5e2a5a90ccc286e"/>
            <w:bookmarkEnd w:id="0"/>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291D64">
              <w:rPr>
                <w:rStyle w:val="tlid-translation"/>
                <w:lang w:val="en"/>
              </w:rPr>
              <w:t>not with dependents;</w:t>
            </w:r>
            <w:bookmarkStart w:id="1" w:name="part_90e54d248e7d435fa5c093c7c98d3f0f"/>
            <w:bookmarkEnd w:id="1"/>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A0FDD">
              <w:rPr>
                <w:rStyle w:val="tlid-translation"/>
                <w:lang w:val="en"/>
              </w:rPr>
              <w:t>submit a document confirming that they have sufficient funds and / or receive regular income in the Republic of Lithuania and funds to return to the country of origin or foreign state to which they have the right to travel;</w:t>
            </w:r>
            <w:bookmarkStart w:id="2" w:name="part_a9a03e0159f04157b7b29d21c779f90c"/>
            <w:bookmarkEnd w:id="2"/>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A0FDD">
              <w:rPr>
                <w:rStyle w:val="tlid-translation"/>
                <w:lang w:val="en"/>
              </w:rPr>
              <w:t>have a health insurance document;</w:t>
            </w:r>
            <w:bookmarkStart w:id="3" w:name="part_77c7765ecb754a798af8727d46436b7c"/>
            <w:bookmarkEnd w:id="3"/>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A0FDD">
              <w:rPr>
                <w:rStyle w:val="tlid-translation"/>
                <w:lang w:val="en"/>
              </w:rPr>
              <w:t>has paid a fee set by the legislation of the Republic of Lithuania for a multiple-entry national visa application;</w:t>
            </w:r>
            <w:bookmarkStart w:id="4" w:name="part_5d73115f61844b548c3d299285e53ee9"/>
            <w:bookmarkEnd w:id="4"/>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A0FDD">
              <w:rPr>
                <w:rStyle w:val="tlid-translation"/>
                <w:lang w:val="en"/>
              </w:rPr>
              <w:t>previously did not participate in this work holiday program.</w:t>
            </w:r>
          </w:p>
          <w:p w:rsidR="00554533" w:rsidRPr="001A0FDD" w:rsidRDefault="001A0FDD" w:rsidP="001A0FDD">
            <w:pPr>
              <w:rPr>
                <w:szCs w:val="24"/>
                <w:lang w:eastAsia="lt-LT"/>
              </w:rPr>
            </w:pPr>
            <w:r w:rsidRPr="001A0FDD">
              <w:rPr>
                <w:szCs w:val="24"/>
                <w:lang w:val="en" w:eastAsia="lt-LT"/>
              </w:rPr>
              <w:t>New Zealand citizens arriving in the Republic of Lithuania on a work holiday program are not subject to the requirement to obtain a work permit in the laws and other legal acts of the Republic of Lithuania</w:t>
            </w:r>
            <w:r w:rsidR="00554533" w:rsidRPr="00403CA7">
              <w:rPr>
                <w:sz w:val="22"/>
              </w:rPr>
              <w:t xml:space="preserve">. </w:t>
            </w:r>
            <w:r>
              <w:rPr>
                <w:rStyle w:val="tlid-translation"/>
                <w:lang w:val="en"/>
              </w:rPr>
              <w:t>It should be noted that New Zealand citizens who have arrived in the Republic of Lithuania during their work holiday program are not allowed to be employed for a permanent job or work for the same employer for more than 6 months during the period of stay in the territory of the Republic of Lithuania.</w:t>
            </w:r>
          </w:p>
          <w:p w:rsidR="00554533" w:rsidRPr="00403CA7" w:rsidRDefault="00554533" w:rsidP="003510AA">
            <w:pPr>
              <w:pStyle w:val="Default"/>
              <w:ind w:firstLine="567"/>
              <w:jc w:val="both"/>
              <w:rPr>
                <w:sz w:val="6"/>
                <w:szCs w:val="20"/>
              </w:rPr>
            </w:pPr>
          </w:p>
          <w:p w:rsidR="00554533" w:rsidRPr="00403CA7" w:rsidRDefault="00554533" w:rsidP="003510AA">
            <w:pPr>
              <w:pStyle w:val="Default"/>
              <w:jc w:val="both"/>
              <w:rPr>
                <w:color w:val="auto"/>
                <w:sz w:val="22"/>
                <w:szCs w:val="20"/>
              </w:rPr>
            </w:pPr>
            <w:r w:rsidRPr="00403CA7">
              <w:rPr>
                <w:sz w:val="28"/>
              </w:rPr>
              <w:t xml:space="preserve"> </w:t>
            </w:r>
            <w:r w:rsidR="001A0FDD" w:rsidRPr="001A0FDD">
              <w:rPr>
                <w:rStyle w:val="tlid-translation"/>
                <w:b/>
                <w:lang w:val="en"/>
              </w:rPr>
              <w:t>According to the agreement</w:t>
            </w:r>
            <w:r w:rsidR="001A0FDD">
              <w:rPr>
                <w:rStyle w:val="tlid-translation"/>
                <w:lang w:val="en"/>
              </w:rPr>
              <w:t xml:space="preserve"> between the Government of the Republic of Lithuania and the Government of Japan on work on a holiday program, citizens of Japan residing in Japan will be able to enter the Republic of Lithuania:</w:t>
            </w:r>
          </w:p>
          <w:p w:rsidR="00554533" w:rsidRPr="00403CA7" w:rsidRDefault="00554533" w:rsidP="003510AA">
            <w:pPr>
              <w:pStyle w:val="Default"/>
              <w:ind w:firstLine="567"/>
              <w:jc w:val="both"/>
              <w:rPr>
                <w:rFonts w:eastAsia="Times New Roman"/>
                <w:sz w:val="22"/>
                <w:szCs w:val="20"/>
              </w:rPr>
            </w:pPr>
            <w:r w:rsidRPr="00403CA7">
              <w:rPr>
                <w:color w:val="auto"/>
                <w:sz w:val="22"/>
                <w:szCs w:val="20"/>
              </w:rPr>
              <w:t xml:space="preserve">– </w:t>
            </w:r>
            <w:r w:rsidR="001A0FDD">
              <w:rPr>
                <w:rStyle w:val="tlid-translation"/>
                <w:lang w:val="en"/>
              </w:rPr>
              <w:t>points out that the main purpose of a trip to the Republic of Lithuania is holiday;</w:t>
            </w:r>
            <w:bookmarkStart w:id="5" w:name="part_3fb0134e3ed74d9793727ae3c954999c"/>
            <w:bookmarkEnd w:id="5"/>
          </w:p>
          <w:p w:rsidR="001A0FDD" w:rsidRDefault="00554533" w:rsidP="003510AA">
            <w:pPr>
              <w:pStyle w:val="Default"/>
              <w:ind w:firstLine="567"/>
              <w:jc w:val="both"/>
              <w:rPr>
                <w:rStyle w:val="tlid-translation"/>
                <w:lang w:val="en"/>
              </w:rPr>
            </w:pPr>
            <w:r w:rsidRPr="00403CA7">
              <w:rPr>
                <w:rFonts w:eastAsia="Times New Roman"/>
                <w:sz w:val="22"/>
                <w:szCs w:val="20"/>
              </w:rPr>
              <w:t xml:space="preserve">– </w:t>
            </w:r>
            <w:r w:rsidR="001A0FDD">
              <w:rPr>
                <w:rStyle w:val="tlid-translation"/>
                <w:lang w:val="en"/>
              </w:rPr>
              <w:t>the date of application is 18 to 30 years old;</w:t>
            </w:r>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not with dependents, except those who hold a multiple national visa or another visa issued by the Republic of Lithuania under the said agreement;</w:t>
            </w:r>
            <w:bookmarkStart w:id="6" w:name="part_b0289fc8a6de4242b196c87ebbd3d350"/>
            <w:bookmarkEnd w:id="6"/>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have a valid travel document issued during the last 10 years, which is at least 3 months longer than the period of validity of the visa requested;</w:t>
            </w:r>
            <w:r w:rsidRPr="00403CA7">
              <w:rPr>
                <w:rFonts w:eastAsia="Times New Roman"/>
                <w:sz w:val="22"/>
                <w:szCs w:val="20"/>
              </w:rPr>
              <w:t xml:space="preserve"> </w:t>
            </w:r>
            <w:bookmarkStart w:id="7" w:name="part_066d7deaa13345389753e7d1c3374435"/>
            <w:bookmarkEnd w:id="7"/>
          </w:p>
          <w:p w:rsidR="001B6B19" w:rsidRPr="001B6B19" w:rsidRDefault="00554533" w:rsidP="001B6B19">
            <w:pPr>
              <w:ind w:left="567"/>
              <w:rPr>
                <w:szCs w:val="24"/>
                <w:lang w:eastAsia="lt-LT"/>
              </w:rPr>
            </w:pPr>
            <w:r w:rsidRPr="00403CA7">
              <w:rPr>
                <w:sz w:val="22"/>
              </w:rPr>
              <w:t xml:space="preserve">– </w:t>
            </w:r>
            <w:r w:rsidR="001B6B19" w:rsidRPr="001B6B19">
              <w:rPr>
                <w:szCs w:val="24"/>
                <w:lang w:val="en" w:eastAsia="lt-LT"/>
              </w:rPr>
              <w:t>have a return ticket or sufficient funds to purchase such a ticket;</w:t>
            </w:r>
          </w:p>
          <w:p w:rsidR="00554533" w:rsidRPr="00403CA7" w:rsidRDefault="00554533" w:rsidP="001B6B19">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submit a document confirming that they have sufficient funds and / or receive regular income in the Republic of Lithuania during the period of validity of the multiple national visa;</w:t>
            </w:r>
            <w:bookmarkStart w:id="8" w:name="part_bc2f15e91c654f90a08c273576101a1a"/>
            <w:bookmarkEnd w:id="8"/>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indicates that it intends to leave the Republic of Lithuania after the expiry of the multiple national visa</w:t>
            </w:r>
            <w:r w:rsidRPr="00403CA7">
              <w:rPr>
                <w:rFonts w:eastAsia="Times New Roman"/>
                <w:sz w:val="22"/>
                <w:szCs w:val="20"/>
              </w:rPr>
              <w:t xml:space="preserve">; </w:t>
            </w:r>
            <w:bookmarkStart w:id="9" w:name="part_d02398c60aaf4a128f0f773a385a197e"/>
            <w:bookmarkEnd w:id="9"/>
          </w:p>
          <w:p w:rsidR="00554533" w:rsidRPr="00403CA7" w:rsidRDefault="00554533" w:rsidP="003510AA">
            <w:pPr>
              <w:pStyle w:val="Default"/>
              <w:ind w:firstLine="567"/>
              <w:jc w:val="both"/>
              <w:rPr>
                <w:rFonts w:eastAsia="Times New Roman"/>
                <w:sz w:val="22"/>
                <w:szCs w:val="20"/>
              </w:rPr>
            </w:pPr>
            <w:r w:rsidRPr="00403CA7">
              <w:rPr>
                <w:rFonts w:eastAsia="Times New Roman"/>
                <w:sz w:val="22"/>
                <w:szCs w:val="20"/>
              </w:rPr>
              <w:t xml:space="preserve">– </w:t>
            </w:r>
            <w:r w:rsidR="001B6B19">
              <w:rPr>
                <w:rStyle w:val="tlid-translation"/>
                <w:lang w:val="en"/>
              </w:rPr>
              <w:t>did not previously participate in work holiday program;</w:t>
            </w:r>
            <w:bookmarkStart w:id="10" w:name="part_bc35f196eef144cc824d7f7b141ade9e"/>
            <w:bookmarkEnd w:id="10"/>
          </w:p>
          <w:p w:rsidR="001B6B19" w:rsidRDefault="00554533" w:rsidP="003510AA">
            <w:pPr>
              <w:pStyle w:val="Default"/>
              <w:ind w:firstLine="567"/>
              <w:jc w:val="both"/>
              <w:rPr>
                <w:rStyle w:val="tlid-translation"/>
                <w:lang w:val="en"/>
              </w:rPr>
            </w:pPr>
            <w:r w:rsidRPr="00403CA7">
              <w:rPr>
                <w:rFonts w:eastAsia="Times New Roman"/>
                <w:sz w:val="22"/>
                <w:szCs w:val="20"/>
              </w:rPr>
              <w:lastRenderedPageBreak/>
              <w:t xml:space="preserve">– </w:t>
            </w:r>
            <w:r w:rsidR="001B6B19">
              <w:rPr>
                <w:rStyle w:val="tlid-translation"/>
                <w:lang w:val="en"/>
              </w:rPr>
              <w:t>has a health insurance document.</w:t>
            </w:r>
          </w:p>
          <w:p w:rsidR="00554533" w:rsidRPr="009C25C5" w:rsidRDefault="001B6B19" w:rsidP="001B6B19">
            <w:pPr>
              <w:pStyle w:val="Default"/>
              <w:jc w:val="both"/>
              <w:rPr>
                <w:b/>
              </w:rPr>
            </w:pPr>
            <w:r>
              <w:rPr>
                <w:rStyle w:val="tlid-translation"/>
                <w:lang w:val="en"/>
              </w:rPr>
              <w:t>Japanese citizens who have arrived in the Republic of Lithuania under a holiday work program are not subject to the requirement to obtain a work permit laid down in the laws and other legal acts of the Republic of Lithuania, they may be employed and enrolled in training courses or study for a period of up to 6 months in the territory of the Republic of Lithuania, but are not allowed to be employed on a permanent basis work or work for the same employer for more than 6 months during the period of stay in the Republic of Lithuania.</w:t>
            </w:r>
          </w:p>
        </w:tc>
      </w:tr>
      <w:tr w:rsidR="001B6B19" w:rsidRPr="009C25C5" w:rsidTr="00FC7561">
        <w:trPr>
          <w:trHeight w:val="556"/>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B19" w:rsidRPr="003F087B" w:rsidRDefault="001B6B19" w:rsidP="003510AA">
            <w:pPr>
              <w:jc w:val="center"/>
              <w:rPr>
                <w:b/>
              </w:rPr>
            </w:pPr>
            <w:r w:rsidRPr="003F087B">
              <w:lastRenderedPageBreak/>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B19" w:rsidRPr="00B072E1" w:rsidRDefault="001B6B19" w:rsidP="003510AA">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1B6B19" w:rsidRPr="003F087B" w:rsidRDefault="001B6B19" w:rsidP="003510AA">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1B6B19" w:rsidRPr="003F087B" w:rsidRDefault="001B6B19" w:rsidP="003510AA">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1B6B19" w:rsidRPr="009C25C5"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B19" w:rsidRDefault="001B6B19"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B19" w:rsidRDefault="001B6B19" w:rsidP="003510AA">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1B6B19" w:rsidRDefault="001B6B19"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E22122">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1B6B19" w:rsidRDefault="001B6B19"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1B6B19" w:rsidRPr="00A30A8F" w:rsidRDefault="001B6B19" w:rsidP="003510AA">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1B6B19" w:rsidRPr="00A72ADC" w:rsidRDefault="001B6B19" w:rsidP="001B6B19">
      <w:pPr>
        <w:rPr>
          <w:szCs w:val="24"/>
          <w:lang w:eastAsia="lt-LT"/>
        </w:rPr>
      </w:pPr>
      <w:r w:rsidRPr="00A72ADC">
        <w:rPr>
          <w:szCs w:val="24"/>
          <w:lang w:val="en" w:eastAsia="lt-LT"/>
        </w:rPr>
        <w:t>I checked whether all the necessary documents were issued on the issue of multiple national visas</w:t>
      </w:r>
    </w:p>
    <w:p w:rsidR="001B6B19" w:rsidRPr="001A5E30" w:rsidRDefault="001B6B19" w:rsidP="001B6B19">
      <w:pPr>
        <w:pStyle w:val="NoSpacing"/>
        <w:jc w:val="both"/>
        <w:rPr>
          <w:rFonts w:ascii="Times New Roman" w:hAnsi="Times New Roman"/>
        </w:rPr>
      </w:pPr>
      <w:r>
        <w:rPr>
          <w:rFonts w:ascii="Times New Roman" w:hAnsi="Times New Roman"/>
        </w:rPr>
        <w:t>_______________________________________________________</w:t>
      </w:r>
      <w:r w:rsidRPr="001A5E30">
        <w:rPr>
          <w:rFonts w:ascii="Times New Roman" w:hAnsi="Times New Roman"/>
        </w:rPr>
        <w:t>________________________________</w:t>
      </w:r>
    </w:p>
    <w:p w:rsidR="001B6B19" w:rsidRPr="00A72ADC" w:rsidRDefault="001B6B19" w:rsidP="001B6B19">
      <w:pPr>
        <w:jc w:val="center"/>
        <w:rPr>
          <w:sz w:val="16"/>
          <w:szCs w:val="16"/>
        </w:rPr>
      </w:pPr>
      <w:r w:rsidRPr="00A72ADC">
        <w:rPr>
          <w:sz w:val="16"/>
          <w:szCs w:val="16"/>
        </w:rPr>
        <w:t>(</w:t>
      </w:r>
      <w:r w:rsidRPr="00A72ADC">
        <w:rPr>
          <w:rStyle w:val="tlid-translation"/>
          <w:sz w:val="16"/>
          <w:szCs w:val="16"/>
          <w:lang w:val="en"/>
        </w:rPr>
        <w:t>foreign</w:t>
      </w:r>
      <w:r>
        <w:rPr>
          <w:rStyle w:val="tlid-translation"/>
          <w:sz w:val="16"/>
          <w:szCs w:val="16"/>
          <w:lang w:val="en"/>
        </w:rPr>
        <w:t>er</w:t>
      </w:r>
      <w:r w:rsidRPr="00A72ADC">
        <w:rPr>
          <w:rStyle w:val="tlid-translation"/>
          <w:sz w:val="16"/>
          <w:szCs w:val="16"/>
          <w:lang w:val="en"/>
        </w:rPr>
        <w:t xml:space="preserve"> nationality (if any), name and surname)</w:t>
      </w:r>
    </w:p>
    <w:p w:rsidR="001B6B19" w:rsidRDefault="001B6B19" w:rsidP="001B6B19">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1B6B19" w:rsidRDefault="001B6B19" w:rsidP="001B6B19">
      <w:pPr>
        <w:pStyle w:val="NoSpacing"/>
        <w:rPr>
          <w:rFonts w:ascii="Times New Roman" w:hAnsi="Times New Roman"/>
          <w:sz w:val="16"/>
          <w:szCs w:val="16"/>
        </w:rPr>
      </w:pPr>
    </w:p>
    <w:p w:rsidR="001B6B19" w:rsidRPr="007B145D" w:rsidRDefault="001B6B19" w:rsidP="001B6B19">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w:t>
      </w:r>
    </w:p>
    <w:p w:rsidR="001B6B19" w:rsidRPr="007B145D" w:rsidRDefault="001B6B19" w:rsidP="001B6B19">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job</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title</w:t>
      </w:r>
      <w:proofErr w:type="spellEnd"/>
      <w:r w:rsidRPr="007B145D">
        <w:rPr>
          <w:rFonts w:ascii="Times New Roman" w:hAnsi="Times New Roman"/>
          <w:color w:val="7F7F7F" w:themeColor="text1" w:themeTint="80"/>
          <w:sz w:val="16"/>
          <w:szCs w:val="16"/>
          <w:vertAlign w:val="superscript"/>
        </w:rPr>
        <w:t>)</w:t>
      </w:r>
    </w:p>
    <w:p w:rsidR="001B6B19" w:rsidRPr="007B145D" w:rsidRDefault="001B6B19" w:rsidP="001B6B19">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1B6B19" w:rsidRPr="007B145D" w:rsidRDefault="001B6B19" w:rsidP="001B6B19">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signature</w:t>
      </w:r>
      <w:proofErr w:type="spellEnd"/>
      <w:r w:rsidRPr="007B145D">
        <w:rPr>
          <w:rFonts w:ascii="Times New Roman" w:hAnsi="Times New Roman"/>
          <w:color w:val="7F7F7F" w:themeColor="text1" w:themeTint="80"/>
          <w:sz w:val="16"/>
          <w:szCs w:val="16"/>
          <w:vertAlign w:val="superscript"/>
        </w:rPr>
        <w:t>)</w:t>
      </w:r>
    </w:p>
    <w:p w:rsidR="001B6B19" w:rsidRPr="007B145D" w:rsidRDefault="001B6B19" w:rsidP="001B6B19">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1B6B19" w:rsidRPr="007B145D" w:rsidRDefault="001B6B19" w:rsidP="001B6B19">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 xml:space="preserve">(Name </w:t>
      </w:r>
      <w:proofErr w:type="spellStart"/>
      <w:r>
        <w:rPr>
          <w:rFonts w:ascii="Times New Roman" w:hAnsi="Times New Roman"/>
          <w:color w:val="7F7F7F" w:themeColor="text1" w:themeTint="80"/>
          <w:sz w:val="16"/>
          <w:szCs w:val="16"/>
          <w:vertAlign w:val="superscript"/>
        </w:rPr>
        <w:t>and</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surname</w:t>
      </w:r>
      <w:proofErr w:type="spellEnd"/>
      <w:r w:rsidRPr="007B145D">
        <w:rPr>
          <w:rFonts w:ascii="Times New Roman" w:hAnsi="Times New Roman"/>
          <w:color w:val="7F7F7F" w:themeColor="text1" w:themeTint="80"/>
          <w:sz w:val="16"/>
          <w:szCs w:val="16"/>
          <w:vertAlign w:val="superscript"/>
        </w:rPr>
        <w:t>)</w:t>
      </w:r>
    </w:p>
    <w:p w:rsidR="001B6B19" w:rsidRPr="007B145D" w:rsidRDefault="001B6B19" w:rsidP="001B6B19">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1B6B19" w:rsidRPr="007B145D" w:rsidRDefault="001B6B19" w:rsidP="001B6B19">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vertAlign w:val="superscript"/>
        </w:rPr>
        <w:t>(</w:t>
      </w:r>
      <w:proofErr w:type="spellStart"/>
      <w:r w:rsidRPr="007B145D">
        <w:rPr>
          <w:rFonts w:ascii="Times New Roman" w:hAnsi="Times New Roman"/>
          <w:color w:val="7F7F7F" w:themeColor="text1" w:themeTint="80"/>
          <w:sz w:val="16"/>
          <w:szCs w:val="16"/>
          <w:vertAlign w:val="superscript"/>
        </w:rPr>
        <w:t>dat</w:t>
      </w:r>
      <w:r>
        <w:rPr>
          <w:rFonts w:ascii="Times New Roman" w:hAnsi="Times New Roman"/>
          <w:color w:val="7F7F7F" w:themeColor="text1" w:themeTint="80"/>
          <w:sz w:val="16"/>
          <w:szCs w:val="16"/>
          <w:vertAlign w:val="superscript"/>
        </w:rPr>
        <w:t>e</w:t>
      </w:r>
      <w:proofErr w:type="spellEnd"/>
      <w:r w:rsidRPr="007B145D">
        <w:rPr>
          <w:rFonts w:ascii="Times New Roman" w:hAnsi="Times New Roman"/>
          <w:color w:val="7F7F7F" w:themeColor="text1" w:themeTint="80"/>
          <w:sz w:val="16"/>
          <w:szCs w:val="16"/>
          <w:vertAlign w:val="superscript"/>
        </w:rPr>
        <w:t>)</w:t>
      </w:r>
    </w:p>
    <w:p w:rsidR="001B6B19" w:rsidRPr="00F406C7" w:rsidRDefault="001B6B19" w:rsidP="001B6B19">
      <w:pPr>
        <w:pStyle w:val="NoSpacing"/>
        <w:ind w:firstLine="567"/>
        <w:jc w:val="both"/>
        <w:rPr>
          <w:rFonts w:ascii="Times New Roman" w:hAnsi="Times New Roman"/>
          <w:b/>
          <w:sz w:val="20"/>
        </w:rPr>
      </w:pPr>
      <w:r>
        <w:rPr>
          <w:rFonts w:ascii="Times New Roman" w:hAnsi="Times New Roman"/>
          <w:b/>
          <w:sz w:val="20"/>
        </w:rPr>
        <w:t>NOTES</w:t>
      </w:r>
      <w:r w:rsidRPr="00F406C7">
        <w:rPr>
          <w:rFonts w:ascii="Times New Roman" w:hAnsi="Times New Roman"/>
          <w:b/>
          <w:sz w:val="20"/>
        </w:rPr>
        <w:t>.</w:t>
      </w:r>
    </w:p>
    <w:p w:rsidR="001B6B19" w:rsidRPr="00F406C7" w:rsidRDefault="001B6B19" w:rsidP="001B6B19">
      <w:pPr>
        <w:pStyle w:val="NoSpacing"/>
        <w:ind w:firstLine="567"/>
        <w:jc w:val="both"/>
        <w:rPr>
          <w:rFonts w:ascii="Times New Roman" w:hAnsi="Times New Roman"/>
          <w:sz w:val="8"/>
        </w:rPr>
      </w:pPr>
    </w:p>
    <w:p w:rsidR="001B6B19" w:rsidRPr="001B3825" w:rsidRDefault="001B6B19" w:rsidP="001B6B19">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w:t>
      </w:r>
      <w:r w:rsidR="00E22122">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w:t>
      </w:r>
      <w:r w:rsidR="00E22122">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1B6B19" w:rsidRPr="001B3825" w:rsidRDefault="001B6B19" w:rsidP="001B6B19">
      <w:pPr>
        <w:pStyle w:val="NoSpacing"/>
        <w:jc w:val="both"/>
        <w:rPr>
          <w:rFonts w:ascii="Times New Roman" w:hAnsi="Times New Roman"/>
          <w:sz w:val="6"/>
        </w:rPr>
      </w:pPr>
    </w:p>
    <w:p w:rsidR="001B6B19" w:rsidRPr="001B3825" w:rsidRDefault="001B6B19" w:rsidP="001B6B19">
      <w:pPr>
        <w:pStyle w:val="NoSpacing"/>
        <w:ind w:firstLine="567"/>
        <w:jc w:val="both"/>
        <w:rPr>
          <w:rFonts w:ascii="Times New Roman" w:hAnsi="Times New Roman"/>
          <w:sz w:val="6"/>
          <w:szCs w:val="24"/>
        </w:rPr>
      </w:pPr>
      <w:proofErr w:type="spellStart"/>
      <w:r w:rsidRPr="008504EE">
        <w:rPr>
          <w:rFonts w:ascii="Times New Roman" w:hAnsi="Times New Roman"/>
          <w:sz w:val="20"/>
        </w:rPr>
        <w:t>An</w:t>
      </w:r>
      <w:proofErr w:type="spellEnd"/>
      <w:r w:rsidRPr="008504EE">
        <w:rPr>
          <w:rFonts w:ascii="Times New Roman" w:hAnsi="Times New Roman"/>
          <w:sz w:val="20"/>
        </w:rPr>
        <w:t xml:space="preserve"> </w:t>
      </w:r>
      <w:proofErr w:type="spellStart"/>
      <w:r w:rsidRPr="008504EE">
        <w:rPr>
          <w:rFonts w:ascii="Times New Roman" w:hAnsi="Times New Roman"/>
          <w:sz w:val="20"/>
        </w:rPr>
        <w:t>application</w:t>
      </w:r>
      <w:proofErr w:type="spellEnd"/>
      <w:r w:rsidRPr="008504EE">
        <w:rPr>
          <w:rFonts w:ascii="Times New Roman" w:hAnsi="Times New Roman"/>
          <w:sz w:val="20"/>
        </w:rPr>
        <w:t xml:space="preserve"> </w:t>
      </w:r>
      <w:proofErr w:type="spellStart"/>
      <w:r w:rsidRPr="008504EE">
        <w:rPr>
          <w:rFonts w:ascii="Times New Roman" w:hAnsi="Times New Roman"/>
          <w:sz w:val="20"/>
        </w:rPr>
        <w:t>for</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issue</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a </w:t>
      </w:r>
      <w:proofErr w:type="spellStart"/>
      <w:r w:rsidRPr="008504EE">
        <w:rPr>
          <w:rFonts w:ascii="Times New Roman" w:hAnsi="Times New Roman"/>
          <w:sz w:val="20"/>
        </w:rPr>
        <w:t>national</w:t>
      </w:r>
      <w:proofErr w:type="spellEnd"/>
      <w:r w:rsidRPr="008504EE">
        <w:rPr>
          <w:rFonts w:ascii="Times New Roman" w:hAnsi="Times New Roman"/>
          <w:sz w:val="20"/>
        </w:rPr>
        <w:t xml:space="preserve"> visa </w:t>
      </w:r>
      <w:proofErr w:type="spellStart"/>
      <w:r w:rsidRPr="008504EE">
        <w:rPr>
          <w:rFonts w:ascii="Times New Roman" w:hAnsi="Times New Roman"/>
          <w:sz w:val="20"/>
        </w:rPr>
        <w:t>and</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accompanying</w:t>
      </w:r>
      <w:proofErr w:type="spellEnd"/>
      <w:r w:rsidRPr="008504EE">
        <w:rPr>
          <w:rFonts w:ascii="Times New Roman" w:hAnsi="Times New Roman"/>
          <w:sz w:val="20"/>
        </w:rPr>
        <w:t xml:space="preserve"> </w:t>
      </w:r>
      <w:proofErr w:type="spellStart"/>
      <w:r w:rsidRPr="008504EE">
        <w:rPr>
          <w:rFonts w:ascii="Times New Roman" w:hAnsi="Times New Roman"/>
          <w:sz w:val="20"/>
        </w:rPr>
        <w:t>documents</w:t>
      </w:r>
      <w:proofErr w:type="spellEnd"/>
      <w:r w:rsidRPr="008504EE">
        <w:rPr>
          <w:rFonts w:ascii="Times New Roman" w:hAnsi="Times New Roman"/>
          <w:sz w:val="20"/>
        </w:rPr>
        <w:t xml:space="preserve"> </w:t>
      </w:r>
      <w:proofErr w:type="spellStart"/>
      <w:r w:rsidRPr="008504EE">
        <w:rPr>
          <w:rFonts w:ascii="Times New Roman" w:hAnsi="Times New Roman"/>
          <w:sz w:val="20"/>
        </w:rPr>
        <w:t>may</w:t>
      </w:r>
      <w:proofErr w:type="spellEnd"/>
      <w:r w:rsidRPr="008504EE">
        <w:rPr>
          <w:rFonts w:ascii="Times New Roman" w:hAnsi="Times New Roman"/>
          <w:sz w:val="20"/>
        </w:rPr>
        <w:t xml:space="preserve"> be </w:t>
      </w:r>
      <w:proofErr w:type="spellStart"/>
      <w:r w:rsidRPr="008504EE">
        <w:rPr>
          <w:rFonts w:ascii="Times New Roman" w:hAnsi="Times New Roman"/>
          <w:sz w:val="20"/>
        </w:rPr>
        <w:t>submitted</w:t>
      </w:r>
      <w:proofErr w:type="spellEnd"/>
      <w:r w:rsidRPr="008504EE">
        <w:rPr>
          <w:rFonts w:ascii="Times New Roman" w:hAnsi="Times New Roman"/>
          <w:sz w:val="20"/>
        </w:rPr>
        <w:t xml:space="preserve"> to </w:t>
      </w:r>
      <w:proofErr w:type="spellStart"/>
      <w:r w:rsidRPr="008504EE">
        <w:rPr>
          <w:rFonts w:ascii="Times New Roman" w:hAnsi="Times New Roman"/>
          <w:sz w:val="20"/>
        </w:rPr>
        <w:t>the</w:t>
      </w:r>
      <w:proofErr w:type="spellEnd"/>
      <w:r w:rsidRPr="008504EE">
        <w:rPr>
          <w:rFonts w:ascii="Times New Roman" w:hAnsi="Times New Roman"/>
          <w:sz w:val="20"/>
        </w:rPr>
        <w:t xml:space="preserve"> visa </w:t>
      </w:r>
      <w:proofErr w:type="spellStart"/>
      <w:r w:rsidRPr="008504EE">
        <w:rPr>
          <w:rFonts w:ascii="Times New Roman" w:hAnsi="Times New Roman"/>
          <w:sz w:val="20"/>
        </w:rPr>
        <w:t>authority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8504EE">
        <w:rPr>
          <w:rFonts w:ascii="Times New Roman" w:hAnsi="Times New Roman"/>
          <w:sz w:val="20"/>
        </w:rPr>
        <w:t xml:space="preserve"> </w:t>
      </w:r>
      <w:proofErr w:type="spellStart"/>
      <w:r w:rsidRPr="008504EE">
        <w:rPr>
          <w:rFonts w:ascii="Times New Roman" w:hAnsi="Times New Roman"/>
          <w:sz w:val="20"/>
        </w:rPr>
        <w:t>if</w:t>
      </w:r>
      <w:proofErr w:type="spellEnd"/>
      <w:r w:rsidRPr="008504EE">
        <w:rPr>
          <w:rFonts w:ascii="Times New Roman" w:hAnsi="Times New Roman"/>
          <w:sz w:val="20"/>
        </w:rPr>
        <w:t xml:space="preserve"> </w:t>
      </w:r>
      <w:proofErr w:type="spellStart"/>
      <w:r w:rsidR="00E22122">
        <w:rPr>
          <w:rFonts w:ascii="Times New Roman" w:hAnsi="Times New Roman"/>
          <w:sz w:val="20"/>
        </w:rPr>
        <w:t>foreigner</w:t>
      </w:r>
      <w:proofErr w:type="spellEnd"/>
      <w:r w:rsidRPr="008504EE">
        <w:rPr>
          <w:rFonts w:ascii="Times New Roman" w:hAnsi="Times New Roman"/>
          <w:sz w:val="20"/>
        </w:rPr>
        <w:t xml:space="preserve"> </w:t>
      </w:r>
      <w:proofErr w:type="spellStart"/>
      <w:r w:rsidRPr="008504EE">
        <w:rPr>
          <w:rFonts w:ascii="Times New Roman" w:hAnsi="Times New Roman"/>
          <w:sz w:val="20"/>
        </w:rPr>
        <w:t>is</w:t>
      </w:r>
      <w:proofErr w:type="spellEnd"/>
      <w:r w:rsidRPr="008504EE">
        <w:rPr>
          <w:rFonts w:ascii="Times New Roman" w:hAnsi="Times New Roman"/>
          <w:sz w:val="20"/>
        </w:rPr>
        <w:t xml:space="preserve"> </w:t>
      </w:r>
      <w:proofErr w:type="spellStart"/>
      <w:r w:rsidRPr="008504EE">
        <w:rPr>
          <w:rFonts w:ascii="Times New Roman" w:hAnsi="Times New Roman"/>
          <w:sz w:val="20"/>
        </w:rPr>
        <w:t>legally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territory</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Republic</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1B3825">
        <w:rPr>
          <w:rFonts w:ascii="Times New Roman" w:hAnsi="Times New Roman"/>
          <w:sz w:val="20"/>
          <w:szCs w:val="24"/>
        </w:rPr>
        <w:t>.</w:t>
      </w:r>
    </w:p>
    <w:p w:rsidR="001B6B19" w:rsidRPr="001B3825" w:rsidRDefault="001B6B19" w:rsidP="001B6B19">
      <w:pPr>
        <w:pStyle w:val="NoSpacing"/>
        <w:ind w:firstLine="567"/>
        <w:jc w:val="both"/>
        <w:rPr>
          <w:rFonts w:ascii="Times New Roman" w:hAnsi="Times New Roman"/>
          <w:sz w:val="6"/>
          <w:szCs w:val="24"/>
        </w:rPr>
      </w:pPr>
    </w:p>
    <w:p w:rsidR="001B6B19" w:rsidRPr="001B3825" w:rsidRDefault="001B6B19" w:rsidP="001B6B19">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E22122">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An authorized person on behalf of foreigner serving documents to a visa office in Lithuania must be legally resident in the territory of the Republic of Lithuania</w:t>
      </w:r>
      <w:r w:rsidRPr="001B3825">
        <w:t>.</w:t>
      </w:r>
      <w:r w:rsidRPr="00887FFD">
        <w:rPr>
          <w:rStyle w:val="tlid-translation"/>
          <w:lang w:val="en"/>
        </w:rPr>
        <w:t xml:space="preserve"> </w:t>
      </w:r>
      <w:r w:rsidR="00E22122">
        <w:rPr>
          <w:rStyle w:val="tlid-translation"/>
          <w:lang w:val="en"/>
        </w:rPr>
        <w:t>If there is a suspicion of</w:t>
      </w:r>
      <w:bookmarkStart w:id="11" w:name="_GoBack"/>
      <w:bookmarkEnd w:id="11"/>
      <w:r>
        <w:rPr>
          <w:rStyle w:val="tlid-translation"/>
          <w:lang w:val="en"/>
        </w:rPr>
        <w:t xml:space="preserve"> </w:t>
      </w:r>
      <w:r w:rsidR="003F6D14">
        <w:rPr>
          <w:rStyle w:val="tlid-translation"/>
          <w:lang w:val="en"/>
        </w:rPr>
        <w:t>foreigner</w:t>
      </w:r>
      <w:r>
        <w:rPr>
          <w:rStyle w:val="tlid-translation"/>
          <w:lang w:val="en"/>
        </w:rPr>
        <w:t xml:space="preserve">'s destination, the authenticity of the documents submitted, the visa official may, in order to ascertain the credibility of </w:t>
      </w:r>
      <w:r w:rsidR="00E22122">
        <w:rPr>
          <w:rStyle w:val="tlid-translation"/>
          <w:lang w:val="en"/>
        </w:rPr>
        <w:t>foreigner</w:t>
      </w:r>
      <w:r>
        <w:rPr>
          <w:rStyle w:val="tlid-translation"/>
          <w:lang w:val="en"/>
        </w:rPr>
        <w:t xml:space="preserve">, require </w:t>
      </w:r>
      <w:r w:rsidR="00E22122">
        <w:rPr>
          <w:rStyle w:val="tlid-translation"/>
          <w:lang w:val="en"/>
        </w:rPr>
        <w:t>foreigner</w:t>
      </w:r>
      <w:r>
        <w:rPr>
          <w:rStyle w:val="tlid-translation"/>
          <w:lang w:val="en"/>
        </w:rPr>
        <w:t xml:space="preserve"> to present the documents personally and, in the event of reasonable doubt as to the identity of </w:t>
      </w:r>
      <w:r w:rsidR="00E22122">
        <w:rPr>
          <w:rStyle w:val="tlid-translation"/>
          <w:lang w:val="en"/>
        </w:rPr>
        <w:t>foreigner</w:t>
      </w:r>
      <w:r>
        <w:rPr>
          <w:rStyle w:val="tlid-translation"/>
          <w:lang w:val="en"/>
        </w:rPr>
        <w:t>, to take fingerprints without the specified period</w:t>
      </w:r>
      <w:r w:rsidRPr="001B3825">
        <w:t>.</w:t>
      </w:r>
    </w:p>
    <w:p w:rsidR="001B6B19" w:rsidRPr="001B3825" w:rsidRDefault="001B6B19" w:rsidP="001B6B19">
      <w:pPr>
        <w:pStyle w:val="NoSpacing"/>
        <w:jc w:val="both"/>
        <w:rPr>
          <w:rFonts w:ascii="Times New Roman" w:hAnsi="Times New Roman"/>
          <w:sz w:val="6"/>
          <w:szCs w:val="24"/>
        </w:rPr>
      </w:pPr>
    </w:p>
    <w:p w:rsidR="001B6B19" w:rsidRPr="00887FFD" w:rsidRDefault="001B6B19" w:rsidP="001B6B19">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lastRenderedPageBreak/>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1B6B19" w:rsidRPr="001B3825" w:rsidRDefault="001B6B19" w:rsidP="001B6B19">
      <w:pPr>
        <w:pStyle w:val="NoSpacing"/>
        <w:jc w:val="both"/>
        <w:rPr>
          <w:rFonts w:ascii="Times New Roman" w:hAnsi="Times New Roman"/>
          <w:sz w:val="6"/>
        </w:rPr>
      </w:pPr>
    </w:p>
    <w:p w:rsidR="001B6B19" w:rsidRPr="00887FFD" w:rsidRDefault="001B6B19" w:rsidP="001B6B19">
      <w:pPr>
        <w:ind w:firstLine="567"/>
        <w:rPr>
          <w:sz w:val="20"/>
          <w:lang w:eastAsia="lt-LT"/>
        </w:rPr>
      </w:pPr>
      <w:proofErr w:type="gramStart"/>
      <w:r w:rsidRPr="00887FFD">
        <w:rPr>
          <w:sz w:val="20"/>
          <w:lang w:val="en" w:eastAsia="lt-LT"/>
        </w:rPr>
        <w:t xml:space="preserve">If </w:t>
      </w:r>
      <w:r>
        <w:rPr>
          <w:sz w:val="20"/>
          <w:lang w:val="en" w:eastAsia="lt-LT"/>
        </w:rPr>
        <w:t xml:space="preserve"> </w:t>
      </w:r>
      <w:r w:rsidRPr="00887FFD">
        <w:rPr>
          <w:sz w:val="20"/>
          <w:lang w:val="en" w:eastAsia="lt-LT"/>
        </w:rPr>
        <w:t>the</w:t>
      </w:r>
      <w:proofErr w:type="gramEnd"/>
      <w:r w:rsidRPr="00887FFD">
        <w:rPr>
          <w:sz w:val="20"/>
          <w:lang w:val="en" w:eastAsia="lt-LT"/>
        </w:rPr>
        <w:t xml:space="preserve"> visa office provided only copies of documents - their authenticity must be attested copies certainty testimony of an authorized person or institution</w:t>
      </w:r>
      <w:r w:rsidRPr="00887FFD">
        <w:rPr>
          <w:sz w:val="20"/>
        </w:rPr>
        <w:t>.</w:t>
      </w:r>
    </w:p>
    <w:p w:rsidR="001B6B19" w:rsidRPr="00887FFD" w:rsidRDefault="001B6B19" w:rsidP="001B6B19">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1B6B19" w:rsidRPr="00887FFD" w:rsidRDefault="001B6B19" w:rsidP="001B6B19">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E22122">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w:t>
      </w:r>
      <w:r w:rsidR="00E22122">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1B6B19" w:rsidRPr="00887FFD" w:rsidRDefault="001B6B19" w:rsidP="001B6B19">
      <w:pPr>
        <w:ind w:firstLine="567"/>
        <w:rPr>
          <w:sz w:val="20"/>
          <w:lang w:eastAsia="lt-LT"/>
        </w:rPr>
      </w:pPr>
      <w:r w:rsidRPr="00887FFD">
        <w:rPr>
          <w:sz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295E64" w:rsidRDefault="00295E64"/>
    <w:sectPr w:rsidR="00295E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05" w:rsidRDefault="00573605" w:rsidP="00554533">
      <w:r>
        <w:separator/>
      </w:r>
    </w:p>
  </w:endnote>
  <w:endnote w:type="continuationSeparator" w:id="0">
    <w:p w:rsidR="00573605" w:rsidRDefault="00573605" w:rsidP="0055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05" w:rsidRDefault="00573605" w:rsidP="00554533">
      <w:r>
        <w:separator/>
      </w:r>
    </w:p>
  </w:footnote>
  <w:footnote w:type="continuationSeparator" w:id="0">
    <w:p w:rsidR="00573605" w:rsidRDefault="00573605" w:rsidP="00554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1D8A"/>
    <w:multiLevelType w:val="hybridMultilevel"/>
    <w:tmpl w:val="2DD813C8"/>
    <w:lvl w:ilvl="0" w:tplc="5894AFD6">
      <w:start w:val="1"/>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2">
    <w:nsid w:val="310417A5"/>
    <w:multiLevelType w:val="hybridMultilevel"/>
    <w:tmpl w:val="CD14ECD8"/>
    <w:lvl w:ilvl="0" w:tplc="3A84379C">
      <w:start w:val="1"/>
      <w:numFmt w:val="bullet"/>
      <w:lvlText w:val="–"/>
      <w:lvlJc w:val="left"/>
      <w:pPr>
        <w:ind w:left="927" w:hanging="360"/>
      </w:pPr>
      <w:rPr>
        <w:rFonts w:ascii="Times New Roman" w:eastAsiaTheme="minorHAnsi" w:hAnsi="Times New Roman" w:cs="Times New Roman" w:hint="default"/>
        <w:color w:val="auto"/>
        <w:sz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nsid w:val="4ADD38B3"/>
    <w:multiLevelType w:val="hybridMultilevel"/>
    <w:tmpl w:val="DC845F04"/>
    <w:lvl w:ilvl="0" w:tplc="F8A67924">
      <w:start w:val="1"/>
      <w:numFmt w:val="bullet"/>
      <w:lvlText w:val="–"/>
      <w:lvlJc w:val="left"/>
      <w:pPr>
        <w:ind w:left="927" w:hanging="360"/>
      </w:pPr>
      <w:rPr>
        <w:rFonts w:ascii="Times New Roman" w:eastAsiaTheme="minorHAnsi" w:hAnsi="Times New Roman" w:cs="Times New Roman" w:hint="default"/>
        <w:color w:val="auto"/>
        <w:sz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73"/>
    <w:rsid w:val="001379A3"/>
    <w:rsid w:val="001A0FDD"/>
    <w:rsid w:val="001B6B19"/>
    <w:rsid w:val="001F1473"/>
    <w:rsid w:val="00291D64"/>
    <w:rsid w:val="00295E64"/>
    <w:rsid w:val="003F6D14"/>
    <w:rsid w:val="004B35BF"/>
    <w:rsid w:val="005206D7"/>
    <w:rsid w:val="00554533"/>
    <w:rsid w:val="00573605"/>
    <w:rsid w:val="00820BDA"/>
    <w:rsid w:val="00CD402B"/>
    <w:rsid w:val="00E172C6"/>
    <w:rsid w:val="00E22122"/>
    <w:rsid w:val="00F52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3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54533"/>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4533"/>
    <w:rPr>
      <w:rFonts w:ascii="Calibri" w:hAnsi="Calibri"/>
      <w:sz w:val="22"/>
      <w:szCs w:val="22"/>
      <w:lang w:eastAsia="lt-LT"/>
    </w:rPr>
  </w:style>
  <w:style w:type="paragraph" w:customStyle="1" w:styleId="Pagrindinistekstas3">
    <w:name w:val="Pagrindinis tekstas3"/>
    <w:basedOn w:val="Normal"/>
    <w:rsid w:val="00554533"/>
    <w:pPr>
      <w:suppressAutoHyphens/>
      <w:autoSpaceDE w:val="0"/>
      <w:autoSpaceDN w:val="0"/>
      <w:adjustRightInd w:val="0"/>
      <w:spacing w:line="298" w:lineRule="auto"/>
      <w:ind w:firstLine="312"/>
      <w:jc w:val="both"/>
      <w:textAlignment w:val="center"/>
    </w:pPr>
    <w:rPr>
      <w:color w:val="000000"/>
      <w:sz w:val="20"/>
    </w:rPr>
  </w:style>
  <w:style w:type="paragraph" w:customStyle="1" w:styleId="Default">
    <w:name w:val="Default"/>
    <w:basedOn w:val="Normal"/>
    <w:rsid w:val="00554533"/>
    <w:pPr>
      <w:autoSpaceDE w:val="0"/>
      <w:autoSpaceDN w:val="0"/>
    </w:pPr>
    <w:rPr>
      <w:rFonts w:eastAsiaTheme="minorHAnsi"/>
      <w:color w:val="000000"/>
      <w:szCs w:val="24"/>
      <w:lang w:eastAsia="lt-LT"/>
    </w:rPr>
  </w:style>
  <w:style w:type="paragraph" w:styleId="FootnoteText">
    <w:name w:val="footnote text"/>
    <w:basedOn w:val="Normal"/>
    <w:link w:val="FootnoteTextChar"/>
    <w:uiPriority w:val="99"/>
    <w:unhideWhenUsed/>
    <w:rsid w:val="00554533"/>
    <w:rPr>
      <w:sz w:val="20"/>
    </w:rPr>
  </w:style>
  <w:style w:type="character" w:customStyle="1" w:styleId="FootnoteTextChar">
    <w:name w:val="Footnote Text Char"/>
    <w:basedOn w:val="DefaultParagraphFont"/>
    <w:link w:val="FootnoteText"/>
    <w:uiPriority w:val="99"/>
    <w:rsid w:val="005545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54533"/>
    <w:rPr>
      <w:vertAlign w:val="superscript"/>
    </w:rPr>
  </w:style>
  <w:style w:type="character" w:customStyle="1" w:styleId="tlid-translation">
    <w:name w:val="tlid-translation"/>
    <w:basedOn w:val="DefaultParagraphFont"/>
    <w:rsid w:val="00554533"/>
  </w:style>
  <w:style w:type="character" w:customStyle="1" w:styleId="Heading1Char">
    <w:name w:val="Heading 1 Char"/>
    <w:basedOn w:val="DefaultParagraphFont"/>
    <w:link w:val="Heading1"/>
    <w:uiPriority w:val="9"/>
    <w:rsid w:val="00554533"/>
    <w:rPr>
      <w:rFonts w:ascii="Times New Roman" w:eastAsia="Times New Roman" w:hAnsi="Times New Roman" w:cs="Times New Roman"/>
      <w:b/>
      <w:bCs/>
      <w:snapToGrid w:val="0"/>
      <w:color w:val="2F5496"/>
      <w:sz w:val="32"/>
      <w:szCs w:val="28"/>
      <w:lang w:eastAsia="en-GB"/>
    </w:rPr>
  </w:style>
  <w:style w:type="character" w:customStyle="1" w:styleId="alt-edited">
    <w:name w:val="alt-edited"/>
    <w:basedOn w:val="DefaultParagraphFont"/>
    <w:rsid w:val="001B6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3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54533"/>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4533"/>
    <w:rPr>
      <w:rFonts w:ascii="Calibri" w:hAnsi="Calibri"/>
      <w:sz w:val="22"/>
      <w:szCs w:val="22"/>
      <w:lang w:eastAsia="lt-LT"/>
    </w:rPr>
  </w:style>
  <w:style w:type="paragraph" w:customStyle="1" w:styleId="Pagrindinistekstas3">
    <w:name w:val="Pagrindinis tekstas3"/>
    <w:basedOn w:val="Normal"/>
    <w:rsid w:val="00554533"/>
    <w:pPr>
      <w:suppressAutoHyphens/>
      <w:autoSpaceDE w:val="0"/>
      <w:autoSpaceDN w:val="0"/>
      <w:adjustRightInd w:val="0"/>
      <w:spacing w:line="298" w:lineRule="auto"/>
      <w:ind w:firstLine="312"/>
      <w:jc w:val="both"/>
      <w:textAlignment w:val="center"/>
    </w:pPr>
    <w:rPr>
      <w:color w:val="000000"/>
      <w:sz w:val="20"/>
    </w:rPr>
  </w:style>
  <w:style w:type="paragraph" w:customStyle="1" w:styleId="Default">
    <w:name w:val="Default"/>
    <w:basedOn w:val="Normal"/>
    <w:rsid w:val="00554533"/>
    <w:pPr>
      <w:autoSpaceDE w:val="0"/>
      <w:autoSpaceDN w:val="0"/>
    </w:pPr>
    <w:rPr>
      <w:rFonts w:eastAsiaTheme="minorHAnsi"/>
      <w:color w:val="000000"/>
      <w:szCs w:val="24"/>
      <w:lang w:eastAsia="lt-LT"/>
    </w:rPr>
  </w:style>
  <w:style w:type="paragraph" w:styleId="FootnoteText">
    <w:name w:val="footnote text"/>
    <w:basedOn w:val="Normal"/>
    <w:link w:val="FootnoteTextChar"/>
    <w:uiPriority w:val="99"/>
    <w:unhideWhenUsed/>
    <w:rsid w:val="00554533"/>
    <w:rPr>
      <w:sz w:val="20"/>
    </w:rPr>
  </w:style>
  <w:style w:type="character" w:customStyle="1" w:styleId="FootnoteTextChar">
    <w:name w:val="Footnote Text Char"/>
    <w:basedOn w:val="DefaultParagraphFont"/>
    <w:link w:val="FootnoteText"/>
    <w:uiPriority w:val="99"/>
    <w:rsid w:val="005545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54533"/>
    <w:rPr>
      <w:vertAlign w:val="superscript"/>
    </w:rPr>
  </w:style>
  <w:style w:type="character" w:customStyle="1" w:styleId="tlid-translation">
    <w:name w:val="tlid-translation"/>
    <w:basedOn w:val="DefaultParagraphFont"/>
    <w:rsid w:val="00554533"/>
  </w:style>
  <w:style w:type="character" w:customStyle="1" w:styleId="Heading1Char">
    <w:name w:val="Heading 1 Char"/>
    <w:basedOn w:val="DefaultParagraphFont"/>
    <w:link w:val="Heading1"/>
    <w:uiPriority w:val="9"/>
    <w:rsid w:val="00554533"/>
    <w:rPr>
      <w:rFonts w:ascii="Times New Roman" w:eastAsia="Times New Roman" w:hAnsi="Times New Roman" w:cs="Times New Roman"/>
      <w:b/>
      <w:bCs/>
      <w:snapToGrid w:val="0"/>
      <w:color w:val="2F5496"/>
      <w:sz w:val="32"/>
      <w:szCs w:val="28"/>
      <w:lang w:eastAsia="en-GB"/>
    </w:rPr>
  </w:style>
  <w:style w:type="character" w:customStyle="1" w:styleId="alt-edited">
    <w:name w:val="alt-edited"/>
    <w:basedOn w:val="DefaultParagraphFont"/>
    <w:rsid w:val="001B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00835">
      <w:bodyDiv w:val="1"/>
      <w:marLeft w:val="0"/>
      <w:marRight w:val="0"/>
      <w:marTop w:val="0"/>
      <w:marBottom w:val="0"/>
      <w:divBdr>
        <w:top w:val="none" w:sz="0" w:space="0" w:color="auto"/>
        <w:left w:val="none" w:sz="0" w:space="0" w:color="auto"/>
        <w:bottom w:val="none" w:sz="0" w:space="0" w:color="auto"/>
        <w:right w:val="none" w:sz="0" w:space="0" w:color="auto"/>
      </w:divBdr>
      <w:divsChild>
        <w:div w:id="425805277">
          <w:marLeft w:val="0"/>
          <w:marRight w:val="0"/>
          <w:marTop w:val="0"/>
          <w:marBottom w:val="0"/>
          <w:divBdr>
            <w:top w:val="none" w:sz="0" w:space="0" w:color="auto"/>
            <w:left w:val="none" w:sz="0" w:space="0" w:color="auto"/>
            <w:bottom w:val="none" w:sz="0" w:space="0" w:color="auto"/>
            <w:right w:val="none" w:sz="0" w:space="0" w:color="auto"/>
          </w:divBdr>
          <w:divsChild>
            <w:div w:id="7016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9949">
      <w:bodyDiv w:val="1"/>
      <w:marLeft w:val="0"/>
      <w:marRight w:val="0"/>
      <w:marTop w:val="0"/>
      <w:marBottom w:val="0"/>
      <w:divBdr>
        <w:top w:val="none" w:sz="0" w:space="0" w:color="auto"/>
        <w:left w:val="none" w:sz="0" w:space="0" w:color="auto"/>
        <w:bottom w:val="none" w:sz="0" w:space="0" w:color="auto"/>
        <w:right w:val="none" w:sz="0" w:space="0" w:color="auto"/>
      </w:divBdr>
      <w:divsChild>
        <w:div w:id="1842348174">
          <w:marLeft w:val="0"/>
          <w:marRight w:val="0"/>
          <w:marTop w:val="0"/>
          <w:marBottom w:val="0"/>
          <w:divBdr>
            <w:top w:val="none" w:sz="0" w:space="0" w:color="auto"/>
            <w:left w:val="none" w:sz="0" w:space="0" w:color="auto"/>
            <w:bottom w:val="none" w:sz="0" w:space="0" w:color="auto"/>
            <w:right w:val="none" w:sz="0" w:space="0" w:color="auto"/>
          </w:divBdr>
          <w:divsChild>
            <w:div w:id="13376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7486">
      <w:bodyDiv w:val="1"/>
      <w:marLeft w:val="0"/>
      <w:marRight w:val="0"/>
      <w:marTop w:val="0"/>
      <w:marBottom w:val="0"/>
      <w:divBdr>
        <w:top w:val="none" w:sz="0" w:space="0" w:color="auto"/>
        <w:left w:val="none" w:sz="0" w:space="0" w:color="auto"/>
        <w:bottom w:val="none" w:sz="0" w:space="0" w:color="auto"/>
        <w:right w:val="none" w:sz="0" w:space="0" w:color="auto"/>
      </w:divBdr>
      <w:divsChild>
        <w:div w:id="960066861">
          <w:marLeft w:val="0"/>
          <w:marRight w:val="0"/>
          <w:marTop w:val="0"/>
          <w:marBottom w:val="0"/>
          <w:divBdr>
            <w:top w:val="none" w:sz="0" w:space="0" w:color="auto"/>
            <w:left w:val="none" w:sz="0" w:space="0" w:color="auto"/>
            <w:bottom w:val="none" w:sz="0" w:space="0" w:color="auto"/>
            <w:right w:val="none" w:sz="0" w:space="0" w:color="auto"/>
          </w:divBdr>
          <w:divsChild>
            <w:div w:id="13829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0345">
      <w:bodyDiv w:val="1"/>
      <w:marLeft w:val="0"/>
      <w:marRight w:val="0"/>
      <w:marTop w:val="0"/>
      <w:marBottom w:val="0"/>
      <w:divBdr>
        <w:top w:val="none" w:sz="0" w:space="0" w:color="auto"/>
        <w:left w:val="none" w:sz="0" w:space="0" w:color="auto"/>
        <w:bottom w:val="none" w:sz="0" w:space="0" w:color="auto"/>
        <w:right w:val="none" w:sz="0" w:space="0" w:color="auto"/>
      </w:divBdr>
      <w:divsChild>
        <w:div w:id="2091002472">
          <w:marLeft w:val="0"/>
          <w:marRight w:val="0"/>
          <w:marTop w:val="0"/>
          <w:marBottom w:val="0"/>
          <w:divBdr>
            <w:top w:val="none" w:sz="0" w:space="0" w:color="auto"/>
            <w:left w:val="none" w:sz="0" w:space="0" w:color="auto"/>
            <w:bottom w:val="none" w:sz="0" w:space="0" w:color="auto"/>
            <w:right w:val="none" w:sz="0" w:space="0" w:color="auto"/>
          </w:divBdr>
          <w:divsChild>
            <w:div w:id="19124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1584">
      <w:bodyDiv w:val="1"/>
      <w:marLeft w:val="0"/>
      <w:marRight w:val="0"/>
      <w:marTop w:val="0"/>
      <w:marBottom w:val="0"/>
      <w:divBdr>
        <w:top w:val="none" w:sz="0" w:space="0" w:color="auto"/>
        <w:left w:val="none" w:sz="0" w:space="0" w:color="auto"/>
        <w:bottom w:val="none" w:sz="0" w:space="0" w:color="auto"/>
        <w:right w:val="none" w:sz="0" w:space="0" w:color="auto"/>
      </w:divBdr>
      <w:divsChild>
        <w:div w:id="934872187">
          <w:marLeft w:val="0"/>
          <w:marRight w:val="0"/>
          <w:marTop w:val="0"/>
          <w:marBottom w:val="0"/>
          <w:divBdr>
            <w:top w:val="none" w:sz="0" w:space="0" w:color="auto"/>
            <w:left w:val="none" w:sz="0" w:space="0" w:color="auto"/>
            <w:bottom w:val="none" w:sz="0" w:space="0" w:color="auto"/>
            <w:right w:val="none" w:sz="0" w:space="0" w:color="auto"/>
          </w:divBdr>
          <w:divsChild>
            <w:div w:id="16885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8063</Words>
  <Characters>4597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6</cp:revision>
  <dcterms:created xsi:type="dcterms:W3CDTF">2019-07-16T10:53:00Z</dcterms:created>
  <dcterms:modified xsi:type="dcterms:W3CDTF">2019-07-17T13:50:00Z</dcterms:modified>
</cp:coreProperties>
</file>