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461" w:rsidRDefault="00392461" w:rsidP="00592E00">
      <w:pPr>
        <w:pStyle w:val="Betarp"/>
        <w:jc w:val="center"/>
        <w:rPr>
          <w:b/>
          <w:noProof/>
          <w:sz w:val="28"/>
          <w:szCs w:val="28"/>
          <w:lang w:eastAsia="lt-LT"/>
        </w:rPr>
      </w:pPr>
    </w:p>
    <w:p w:rsidR="004756ED" w:rsidRDefault="004756ED" w:rsidP="004756ED">
      <w:pPr>
        <w:pStyle w:val="Betarp"/>
        <w:jc w:val="center"/>
        <w:rPr>
          <w:b/>
          <w:bCs/>
          <w:sz w:val="28"/>
          <w:szCs w:val="28"/>
          <w:lang w:val="en-GB"/>
        </w:rPr>
      </w:pPr>
      <w:r w:rsidRPr="004756ED">
        <w:rPr>
          <w:b/>
          <w:bCs/>
          <w:sz w:val="28"/>
          <w:szCs w:val="28"/>
          <w:lang w:val="en-GB"/>
        </w:rPr>
        <w:t xml:space="preserve">A </w:t>
      </w:r>
      <w:bookmarkStart w:id="0" w:name="_Hlk126235361"/>
      <w:r w:rsidRPr="004756ED">
        <w:rPr>
          <w:b/>
          <w:bCs/>
          <w:sz w:val="28"/>
          <w:szCs w:val="28"/>
          <w:lang w:val="en-GB"/>
        </w:rPr>
        <w:t>foreigner</w:t>
      </w:r>
      <w:bookmarkEnd w:id="0"/>
      <w:r w:rsidRPr="004756ED">
        <w:rPr>
          <w:b/>
          <w:bCs/>
          <w:sz w:val="28"/>
          <w:szCs w:val="28"/>
          <w:lang w:val="en-GB"/>
        </w:rPr>
        <w:t xml:space="preserve"> who has a valid temporary residence permit issued for a person other than </w:t>
      </w:r>
      <w:r w:rsidRPr="004756ED">
        <w:rPr>
          <w:b/>
          <w:bCs/>
          <w:i/>
          <w:iCs/>
          <w:sz w:val="28"/>
          <w:szCs w:val="28"/>
          <w:lang w:val="en-GB"/>
        </w:rPr>
        <w:t>a highly skilled worker</w:t>
      </w:r>
      <w:r w:rsidRPr="004756ED">
        <w:rPr>
          <w:b/>
          <w:bCs/>
          <w:sz w:val="28"/>
          <w:szCs w:val="28"/>
          <w:lang w:val="en-GB"/>
        </w:rPr>
        <w:t xml:space="preserve"> wishes to change the employer or the function of the job with the same employer </w:t>
      </w:r>
    </w:p>
    <w:p w:rsidR="004756ED" w:rsidRPr="004756ED" w:rsidRDefault="004756ED" w:rsidP="004756ED">
      <w:pPr>
        <w:pStyle w:val="Betarp"/>
        <w:jc w:val="center"/>
        <w:rPr>
          <w:b/>
          <w:bCs/>
          <w:sz w:val="28"/>
          <w:szCs w:val="28"/>
          <w:lang w:val="en-GB"/>
        </w:rPr>
      </w:pPr>
      <w:r w:rsidRPr="004756ED">
        <w:rPr>
          <w:b/>
          <w:bCs/>
          <w:sz w:val="28"/>
          <w:szCs w:val="28"/>
          <w:lang w:val="en-GB"/>
        </w:rPr>
        <w:t>(Article 44(6) of the Law of the Republic of Lithuania on the Legal Status of Foreigners)</w:t>
      </w:r>
    </w:p>
    <w:p w:rsidR="004756ED" w:rsidRPr="004756ED" w:rsidRDefault="004756ED" w:rsidP="004756ED">
      <w:pPr>
        <w:pStyle w:val="Betarp"/>
        <w:rPr>
          <w:b/>
          <w:sz w:val="28"/>
          <w:szCs w:val="28"/>
          <w:lang w:val="en-GB"/>
        </w:rPr>
      </w:pPr>
    </w:p>
    <w:p w:rsidR="00204BF2" w:rsidRPr="004756ED" w:rsidRDefault="00204BF2" w:rsidP="0067225C">
      <w:pPr>
        <w:pStyle w:val="Betarp"/>
        <w:rPr>
          <w:b/>
          <w:sz w:val="32"/>
          <w:szCs w:val="32"/>
          <w:lang w:val="en-GB"/>
        </w:rPr>
      </w:pPr>
    </w:p>
    <w:p w:rsidR="00ED37F7" w:rsidRPr="001977CA" w:rsidRDefault="00204BF2" w:rsidP="00ED37F7">
      <w:pPr>
        <w:pStyle w:val="Betarp"/>
        <w:jc w:val="both"/>
        <w:rPr>
          <w:rFonts w:eastAsia="Times New Roman" w:cs="Times New Roman"/>
          <w:b/>
          <w:i/>
          <w:szCs w:val="24"/>
          <w:u w:val="single"/>
          <w:lang w:val="en-GB"/>
        </w:rPr>
      </w:pPr>
      <w:bookmarkStart w:id="1" w:name="_Hlk69109459"/>
      <w:r w:rsidRPr="001977CA">
        <w:rPr>
          <w:b/>
          <w:szCs w:val="24"/>
          <w:lang w:val="en-GB"/>
        </w:rPr>
        <w:t xml:space="preserve"> </w:t>
      </w:r>
      <w:bookmarkStart w:id="2" w:name="_Hlk126235718"/>
      <w:r w:rsidR="00FE0D0E">
        <w:fldChar w:fldCharType="begin"/>
      </w:r>
      <w:r w:rsidR="00FE0D0E">
        <w:instrText xml:space="preserve"> HYPERLINK "http://www.migracija.lt/l.php?tmpl_into%5b0%5d=index&amp;tmpl_name%5b0%5d=m_site_index178&amp;tmpl_into%5b1%5d=middle&amp;tmpl_id%5b1%5d=2052" </w:instrText>
      </w:r>
      <w:r w:rsidR="00FE0D0E">
        <w:fldChar w:fldCharType="separate"/>
      </w:r>
      <w:r w:rsidR="00ED37F7" w:rsidRPr="001977CA">
        <w:rPr>
          <w:szCs w:val="24"/>
          <w:lang w:val="en-GB"/>
        </w:rPr>
        <w:t xml:space="preserve"> </w:t>
      </w:r>
      <w:r w:rsidR="00ED37F7" w:rsidRPr="001977CA">
        <w:rPr>
          <w:rFonts w:eastAsia="Times New Roman"/>
          <w:b/>
          <w:szCs w:val="24"/>
          <w:lang w:val="en-GB" w:eastAsia="lt-LT"/>
        </w:rPr>
        <w:t>The determined</w:t>
      </w:r>
      <w:r w:rsidR="00DC3BAB" w:rsidRPr="001977CA">
        <w:rPr>
          <w:rFonts w:eastAsia="Times New Roman"/>
          <w:b/>
          <w:szCs w:val="24"/>
          <w:lang w:val="en-GB" w:eastAsia="lt-LT"/>
        </w:rPr>
        <w:t xml:space="preserve"> form</w:t>
      </w:r>
      <w:r w:rsidR="00DC3BAB" w:rsidRPr="004756ED">
        <w:rPr>
          <w:rFonts w:eastAsia="Times New Roman"/>
          <w:b/>
          <w:szCs w:val="24"/>
          <w:lang w:val="en-GB" w:eastAsia="lt-LT"/>
        </w:rPr>
        <w:t xml:space="preserve"> </w:t>
      </w:r>
      <w:r w:rsidR="004756ED" w:rsidRPr="004756ED">
        <w:rPr>
          <w:rFonts w:eastAsia="Times New Roman" w:cs="Times New Roman"/>
          <w:b/>
          <w:sz w:val="22"/>
          <w:lang w:val="en-GB"/>
        </w:rPr>
        <w:t>application</w:t>
      </w:r>
      <w:hyperlink r:id="rId7" w:tgtFrame="_blank" w:history="1">
        <w:r w:rsidR="00DC3BAB" w:rsidRPr="001977CA">
          <w:rPr>
            <w:rFonts w:eastAsia="Calibri"/>
            <w:b/>
            <w:bCs/>
            <w:color w:val="000000"/>
            <w:szCs w:val="24"/>
            <w:lang w:val="en-GB" w:eastAsia="lt-LT"/>
          </w:rPr>
          <w:t xml:space="preserve"> to change the employer or the job </w:t>
        </w:r>
        <w:bookmarkStart w:id="3" w:name="_Hlk69109064"/>
        <w:r w:rsidR="00DC3BAB" w:rsidRPr="001977CA">
          <w:rPr>
            <w:rFonts w:eastAsia="Calibri"/>
            <w:b/>
            <w:bCs/>
            <w:color w:val="000000"/>
            <w:szCs w:val="24"/>
            <w:lang w:val="en-GB" w:eastAsia="lt-LT"/>
          </w:rPr>
          <w:t xml:space="preserve">title at the same </w:t>
        </w:r>
        <w:bookmarkEnd w:id="3"/>
        <w:r w:rsidR="00DC3BAB" w:rsidRPr="001977CA">
          <w:rPr>
            <w:rFonts w:eastAsia="Calibri"/>
            <w:b/>
            <w:bCs/>
            <w:color w:val="000000"/>
            <w:szCs w:val="24"/>
            <w:lang w:val="en-GB" w:eastAsia="lt-LT"/>
          </w:rPr>
          <w:t>employer</w:t>
        </w:r>
      </w:hyperlink>
      <w:r w:rsidR="00DC3BAB" w:rsidRPr="001977CA">
        <w:rPr>
          <w:rFonts w:eastAsia="Calibri"/>
          <w:b/>
          <w:bCs/>
          <w:color w:val="000000"/>
          <w:szCs w:val="24"/>
          <w:lang w:val="en-GB" w:eastAsia="lt-LT"/>
        </w:rPr>
        <w:t>.</w:t>
      </w:r>
      <w:r w:rsidR="00FE0D0E">
        <w:rPr>
          <w:rFonts w:eastAsia="Calibri"/>
          <w:b/>
          <w:bCs/>
          <w:color w:val="000000"/>
          <w:szCs w:val="24"/>
          <w:lang w:val="en-GB" w:eastAsia="lt-LT"/>
        </w:rPr>
        <w:fldChar w:fldCharType="end"/>
      </w:r>
      <w:r w:rsidR="00DC3BAB" w:rsidRPr="001977CA">
        <w:rPr>
          <w:rFonts w:eastAsia="Times New Roman"/>
          <w:b/>
          <w:szCs w:val="24"/>
          <w:lang w:val="en-GB" w:eastAsia="lt-LT"/>
        </w:rPr>
        <w:t xml:space="preserve"> </w:t>
      </w:r>
      <w:r w:rsidR="00ED37F7" w:rsidRPr="001977CA">
        <w:rPr>
          <w:i/>
          <w:szCs w:val="24"/>
          <w:lang w:val="en-GB"/>
        </w:rPr>
        <w:t xml:space="preserve">The </w:t>
      </w:r>
      <w:r w:rsidR="004756ED" w:rsidRPr="004756ED">
        <w:rPr>
          <w:i/>
          <w:sz w:val="22"/>
          <w:lang w:val="en-GB"/>
        </w:rPr>
        <w:t>application</w:t>
      </w:r>
      <w:r w:rsidR="00ED37F7" w:rsidRPr="001977CA">
        <w:rPr>
          <w:i/>
          <w:szCs w:val="24"/>
          <w:lang w:val="en-GB"/>
        </w:rPr>
        <w:t xml:space="preserve"> is submitted via the Lithuanian Migration Information System (MIGRIS);</w:t>
      </w:r>
    </w:p>
    <w:bookmarkEnd w:id="2"/>
    <w:p w:rsidR="00765DFB" w:rsidRPr="001977CA" w:rsidRDefault="00765DFB" w:rsidP="004F25B8">
      <w:pPr>
        <w:pStyle w:val="Betarp"/>
        <w:jc w:val="both"/>
        <w:rPr>
          <w:b/>
          <w:szCs w:val="24"/>
          <w:lang w:val="en-GB"/>
        </w:rPr>
      </w:pPr>
    </w:p>
    <w:p w:rsidR="00ED37F7" w:rsidRPr="001977CA" w:rsidRDefault="00363FB8" w:rsidP="00ED37F7">
      <w:pPr>
        <w:pStyle w:val="Betarp"/>
        <w:jc w:val="both"/>
        <w:rPr>
          <w:rFonts w:eastAsia="Times New Roman" w:cs="Times New Roman"/>
          <w:b/>
          <w:color w:val="1C1C1C"/>
          <w:szCs w:val="24"/>
          <w:lang w:val="en-GB"/>
        </w:rPr>
      </w:pPr>
      <w:r w:rsidRPr="001977CA">
        <w:rPr>
          <w:b/>
          <w:szCs w:val="24"/>
          <w:lang w:val="en-GB"/>
        </w:rPr>
        <w:t></w:t>
      </w:r>
      <w:r w:rsidRPr="001977CA">
        <w:rPr>
          <w:rFonts w:cs="Times New Roman"/>
          <w:b/>
          <w:color w:val="000000"/>
          <w:szCs w:val="24"/>
          <w:lang w:val="en-GB"/>
        </w:rPr>
        <w:t xml:space="preserve"> </w:t>
      </w:r>
      <w:r w:rsidR="00ED37F7" w:rsidRPr="001977CA">
        <w:rPr>
          <w:b/>
          <w:color w:val="1C1C1C"/>
          <w:szCs w:val="24"/>
          <w:lang w:val="en-GB"/>
        </w:rPr>
        <w:t>Valid travel document (passport);</w:t>
      </w:r>
    </w:p>
    <w:p w:rsidR="00CA0B31" w:rsidRPr="001977CA" w:rsidRDefault="00CA0B31" w:rsidP="00392461">
      <w:pPr>
        <w:pStyle w:val="Betarp"/>
        <w:jc w:val="both"/>
        <w:rPr>
          <w:rFonts w:eastAsia="Times New Roman" w:cs="Times New Roman"/>
          <w:b/>
          <w:color w:val="1C1C1C"/>
          <w:szCs w:val="24"/>
          <w:lang w:val="en-GB" w:eastAsia="lt-LT"/>
        </w:rPr>
      </w:pPr>
    </w:p>
    <w:p w:rsidR="004756ED" w:rsidRDefault="00392461" w:rsidP="00392461">
      <w:pPr>
        <w:pStyle w:val="Betarp"/>
        <w:jc w:val="both"/>
        <w:rPr>
          <w:rFonts w:eastAsia="Times New Roman" w:cs="Times New Roman"/>
          <w:b/>
          <w:bCs/>
          <w:color w:val="1C1C1C"/>
          <w:szCs w:val="24"/>
          <w:lang w:val="en-GB" w:eastAsia="lt-LT"/>
        </w:rPr>
      </w:pPr>
      <w:r w:rsidRPr="001977CA">
        <w:rPr>
          <w:rFonts w:eastAsia="Times New Roman" w:cs="Times New Roman"/>
          <w:b/>
          <w:color w:val="1C1C1C"/>
          <w:szCs w:val="24"/>
          <w:lang w:val="en-GB" w:eastAsia="lt-LT"/>
        </w:rPr>
        <w:t xml:space="preserve"> </w:t>
      </w:r>
      <w:r w:rsidR="004756ED">
        <w:rPr>
          <w:rFonts w:eastAsia="Times New Roman" w:cs="Times New Roman"/>
          <w:b/>
          <w:bCs/>
          <w:color w:val="1C1C1C"/>
          <w:szCs w:val="24"/>
          <w:lang w:val="en-GB" w:eastAsia="lt-LT"/>
        </w:rPr>
        <w:t>T</w:t>
      </w:r>
      <w:r w:rsidR="004756ED" w:rsidRPr="004756ED">
        <w:rPr>
          <w:rFonts w:eastAsia="Times New Roman" w:cs="Times New Roman"/>
          <w:b/>
          <w:bCs/>
          <w:color w:val="1C1C1C"/>
          <w:szCs w:val="24"/>
          <w:lang w:val="en-GB" w:eastAsia="lt-LT"/>
        </w:rPr>
        <w:t xml:space="preserve">he number of the mediation letter submitted by the new employer or by the same employer (in case of a change of job function) via the Lithuanian Migration Information System (MIGRIS) </w:t>
      </w:r>
      <w:r w:rsidR="004756ED" w:rsidRPr="004756ED">
        <w:rPr>
          <w:rFonts w:eastAsia="Times New Roman" w:cs="Times New Roman"/>
          <w:b/>
          <w:bCs/>
          <w:i/>
          <w:color w:val="1C1C1C"/>
          <w:szCs w:val="24"/>
          <w:lang w:val="en-GB" w:eastAsia="lt-LT"/>
        </w:rPr>
        <w:t>(to be indicated in MIGRIS when filling in the application for permission to change employer or job function with the same employer)</w:t>
      </w:r>
      <w:r w:rsidR="004756ED">
        <w:rPr>
          <w:rFonts w:eastAsia="Times New Roman" w:cs="Times New Roman"/>
          <w:b/>
          <w:bCs/>
          <w:color w:val="1C1C1C"/>
          <w:szCs w:val="24"/>
          <w:lang w:val="en-GB" w:eastAsia="lt-LT"/>
        </w:rPr>
        <w:t>.</w:t>
      </w:r>
    </w:p>
    <w:p w:rsidR="004756ED" w:rsidRDefault="004756ED" w:rsidP="00392461">
      <w:pPr>
        <w:pStyle w:val="Betarp"/>
        <w:jc w:val="both"/>
        <w:rPr>
          <w:rFonts w:eastAsia="Times New Roman" w:cs="Times New Roman"/>
          <w:b/>
          <w:bCs/>
          <w:color w:val="1C1C1C"/>
          <w:szCs w:val="24"/>
          <w:lang w:val="en-GB" w:eastAsia="lt-LT"/>
        </w:rPr>
      </w:pPr>
    </w:p>
    <w:p w:rsidR="004756ED" w:rsidRPr="004756ED" w:rsidRDefault="004756ED" w:rsidP="004756ED">
      <w:pPr>
        <w:pStyle w:val="Betarp"/>
        <w:jc w:val="both"/>
        <w:rPr>
          <w:rFonts w:eastAsia="Times New Roman" w:cs="Times New Roman"/>
          <w:b/>
          <w:bCs/>
          <w:color w:val="1C1C1C"/>
          <w:szCs w:val="24"/>
          <w:lang w:val="en-GB" w:eastAsia="lt-LT"/>
        </w:rPr>
      </w:pPr>
      <w:bookmarkStart w:id="4" w:name="_Hlk126227161"/>
      <w:r w:rsidRPr="004756ED">
        <w:rPr>
          <w:rFonts w:eastAsia="Times New Roman" w:cs="Times New Roman"/>
          <w:b/>
          <w:bCs/>
          <w:color w:val="1C1C1C"/>
          <w:szCs w:val="24"/>
          <w:lang w:val="en-GB" w:eastAsia="lt-LT"/>
        </w:rPr>
        <w:t>If a multi-employer contract is to be concluded, the first employer submits the mediation letter via MIGRIS, indicating the other employers.</w:t>
      </w:r>
    </w:p>
    <w:bookmarkEnd w:id="4"/>
    <w:p w:rsidR="004756ED" w:rsidRDefault="004756ED" w:rsidP="004756ED">
      <w:pPr>
        <w:pStyle w:val="Betarp"/>
        <w:jc w:val="both"/>
        <w:rPr>
          <w:rFonts w:eastAsia="Times New Roman" w:cs="Times New Roman"/>
          <w:b/>
          <w:bCs/>
          <w:color w:val="1C1C1C"/>
          <w:szCs w:val="24"/>
          <w:lang w:val="en-GB" w:eastAsia="lt-LT"/>
        </w:rPr>
      </w:pPr>
    </w:p>
    <w:p w:rsidR="004756ED" w:rsidRPr="004756ED" w:rsidRDefault="004756ED" w:rsidP="004756ED">
      <w:pPr>
        <w:pStyle w:val="Betarp"/>
        <w:jc w:val="both"/>
        <w:rPr>
          <w:rFonts w:eastAsia="Times New Roman" w:cs="Times New Roman"/>
          <w:b/>
          <w:bCs/>
          <w:color w:val="1C1C1C"/>
          <w:szCs w:val="24"/>
          <w:lang w:val="en-GB" w:eastAsia="lt-LT"/>
        </w:rPr>
      </w:pPr>
      <w:r w:rsidRPr="004756ED">
        <w:rPr>
          <w:rFonts w:eastAsia="Times New Roman" w:cs="Times New Roman"/>
          <w:b/>
          <w:bCs/>
          <w:color w:val="1C1C1C"/>
          <w:szCs w:val="24"/>
          <w:lang w:val="en-GB" w:eastAsia="lt-LT"/>
        </w:rPr>
        <w:t>If a temporary employment contract is to be concluded or has already been concluded, the mediation letter shall be submitted via MIGRIS by a temporary employment company included in the list of temporary employment companies drawn up by the State Labour Inspectorate and published on its website.</w:t>
      </w:r>
    </w:p>
    <w:bookmarkEnd w:id="1"/>
    <w:p w:rsidR="004F25B8" w:rsidRPr="001977CA" w:rsidRDefault="004F25B8" w:rsidP="0067225C">
      <w:pPr>
        <w:pStyle w:val="Betarp"/>
        <w:jc w:val="both"/>
        <w:rPr>
          <w:rFonts w:eastAsia="Times New Roman" w:cs="Times New Roman"/>
          <w:b/>
          <w:color w:val="1C1C1C"/>
          <w:szCs w:val="24"/>
          <w:lang w:val="en-GB" w:eastAsia="lt-LT"/>
        </w:rPr>
      </w:pPr>
    </w:p>
    <w:p w:rsidR="004756ED" w:rsidRPr="004756ED" w:rsidRDefault="0065450A" w:rsidP="004756ED">
      <w:pPr>
        <w:jc w:val="both"/>
        <w:rPr>
          <w:rFonts w:eastAsia="Times New Roman" w:cs="Times New Roman"/>
          <w:b/>
          <w:bCs/>
          <w:szCs w:val="24"/>
          <w:lang w:val="en-GB"/>
        </w:rPr>
      </w:pPr>
      <w:r w:rsidRPr="001977CA">
        <w:rPr>
          <w:b/>
          <w:szCs w:val="24"/>
          <w:lang w:val="en-GB" w:eastAsia="lt-LT"/>
        </w:rPr>
        <w:t xml:space="preserve">     </w:t>
      </w:r>
      <w:r w:rsidR="004756ED" w:rsidRPr="004756ED">
        <w:rPr>
          <w:rFonts w:eastAsia="Times New Roman" w:cs="Times New Roman"/>
          <w:b/>
          <w:bCs/>
          <w:szCs w:val="24"/>
          <w:lang w:val="en-GB"/>
        </w:rPr>
        <w:t>The mediation letter shall:</w:t>
      </w:r>
    </w:p>
    <w:p w:rsidR="004756ED" w:rsidRPr="004756ED" w:rsidRDefault="004756ED" w:rsidP="004756ED">
      <w:pPr>
        <w:numPr>
          <w:ilvl w:val="1"/>
          <w:numId w:val="17"/>
        </w:numPr>
        <w:spacing w:after="0" w:line="240" w:lineRule="auto"/>
        <w:ind w:left="1418"/>
        <w:jc w:val="both"/>
        <w:rPr>
          <w:rFonts w:eastAsia="Calibri" w:cs="Times New Roman"/>
          <w:b/>
          <w:bCs/>
          <w:szCs w:val="24"/>
          <w:lang w:val="en-GB"/>
        </w:rPr>
      </w:pPr>
      <w:r w:rsidRPr="004756ED">
        <w:rPr>
          <w:rFonts w:eastAsia="Calibri" w:cs="Times New Roman"/>
          <w:b/>
          <w:bCs/>
          <w:szCs w:val="24"/>
          <w:lang w:val="en-GB"/>
        </w:rPr>
        <w:t>state whether the foreigner will be covered by a multi-employer contract;</w:t>
      </w:r>
    </w:p>
    <w:p w:rsidR="004756ED" w:rsidRPr="004756ED" w:rsidRDefault="004756ED" w:rsidP="004756ED">
      <w:pPr>
        <w:spacing w:after="0" w:line="240" w:lineRule="auto"/>
        <w:ind w:left="1418"/>
        <w:jc w:val="both"/>
        <w:rPr>
          <w:rFonts w:eastAsia="Calibri" w:cs="Times New Roman"/>
          <w:b/>
          <w:bCs/>
          <w:szCs w:val="24"/>
          <w:lang w:val="en-GB"/>
        </w:rPr>
      </w:pPr>
    </w:p>
    <w:p w:rsidR="004756ED" w:rsidRPr="004756ED" w:rsidRDefault="004756ED" w:rsidP="004756ED">
      <w:pPr>
        <w:numPr>
          <w:ilvl w:val="1"/>
          <w:numId w:val="17"/>
        </w:numPr>
        <w:spacing w:after="0" w:line="240" w:lineRule="auto"/>
        <w:ind w:left="1418"/>
        <w:jc w:val="both"/>
        <w:rPr>
          <w:rFonts w:eastAsia="Calibri" w:cs="Times New Roman"/>
          <w:b/>
          <w:bCs/>
          <w:szCs w:val="24"/>
          <w:lang w:val="en-GB"/>
        </w:rPr>
      </w:pPr>
      <w:r w:rsidRPr="004756ED">
        <w:rPr>
          <w:rFonts w:eastAsia="Calibri" w:cs="Times New Roman"/>
          <w:b/>
          <w:bCs/>
          <w:szCs w:val="24"/>
          <w:lang w:val="en-GB"/>
        </w:rPr>
        <w:t xml:space="preserve">state whether the </w:t>
      </w:r>
      <w:bookmarkStart w:id="5" w:name="_Hlk126235522"/>
      <w:r w:rsidRPr="004756ED">
        <w:rPr>
          <w:rFonts w:eastAsia="Calibri" w:cs="Times New Roman"/>
          <w:b/>
          <w:bCs/>
          <w:szCs w:val="24"/>
          <w:lang w:val="en-GB"/>
        </w:rPr>
        <w:t>foreigner</w:t>
      </w:r>
      <w:bookmarkEnd w:id="5"/>
      <w:r w:rsidRPr="004756ED">
        <w:rPr>
          <w:rFonts w:eastAsia="Calibri" w:cs="Times New Roman"/>
          <w:b/>
          <w:bCs/>
          <w:szCs w:val="24"/>
          <w:lang w:val="en-GB"/>
        </w:rPr>
        <w:t xml:space="preserve"> will be employed under a temporary employment contract. If so, it shall be confirmed that the company is included in the list of temporary employment companies drawn up by the SLI, and shall undertake to provide the foreigner with a full-time working standard and to pay him/her a monthly salary during the period of employment in Lithuania which is at least equal to the last published average monthly gross salary for the calendar year, and at least equal to the MMS 1 during the periods between assignments;</w:t>
      </w:r>
    </w:p>
    <w:p w:rsidR="004756ED" w:rsidRPr="004756ED" w:rsidRDefault="004756ED" w:rsidP="004756ED">
      <w:pPr>
        <w:spacing w:after="0" w:line="240" w:lineRule="auto"/>
        <w:ind w:left="1418"/>
        <w:jc w:val="both"/>
        <w:rPr>
          <w:rFonts w:eastAsia="Calibri" w:cs="Times New Roman"/>
          <w:b/>
          <w:bCs/>
          <w:szCs w:val="24"/>
          <w:lang w:val="en-GB"/>
        </w:rPr>
      </w:pPr>
    </w:p>
    <w:p w:rsidR="004756ED" w:rsidRPr="004756ED" w:rsidRDefault="004756ED" w:rsidP="004756ED">
      <w:pPr>
        <w:numPr>
          <w:ilvl w:val="1"/>
          <w:numId w:val="17"/>
        </w:numPr>
        <w:spacing w:after="0" w:line="240" w:lineRule="auto"/>
        <w:ind w:left="1418"/>
        <w:jc w:val="both"/>
        <w:rPr>
          <w:rFonts w:eastAsia="Calibri" w:cs="Times New Roman"/>
          <w:b/>
          <w:bCs/>
          <w:szCs w:val="24"/>
          <w:lang w:val="en-GB"/>
        </w:rPr>
      </w:pPr>
      <w:r w:rsidRPr="004756ED">
        <w:rPr>
          <w:rFonts w:eastAsia="Calibri" w:cs="Times New Roman"/>
          <w:b/>
          <w:bCs/>
          <w:szCs w:val="24"/>
          <w:lang w:val="en-GB"/>
        </w:rPr>
        <w:t xml:space="preserve">confirm that the qualifications held by the foreigner are relevant to the work to be performed. </w:t>
      </w:r>
    </w:p>
    <w:p w:rsidR="004756ED" w:rsidRPr="004756ED" w:rsidRDefault="004756ED" w:rsidP="004756ED">
      <w:pPr>
        <w:spacing w:after="0" w:line="240" w:lineRule="auto"/>
        <w:ind w:left="720"/>
        <w:jc w:val="both"/>
        <w:rPr>
          <w:rFonts w:eastAsia="Times New Roman" w:cs="Times New Roman"/>
          <w:b/>
          <w:bCs/>
          <w:szCs w:val="24"/>
          <w:lang w:val="en-GB"/>
        </w:rPr>
      </w:pPr>
    </w:p>
    <w:p w:rsidR="004756ED" w:rsidRPr="004756ED" w:rsidRDefault="004756ED" w:rsidP="004756ED">
      <w:pPr>
        <w:spacing w:after="0" w:line="240" w:lineRule="auto"/>
        <w:ind w:left="720"/>
        <w:jc w:val="both"/>
        <w:rPr>
          <w:rFonts w:eastAsia="Times New Roman" w:cs="Times New Roman"/>
          <w:b/>
          <w:bCs/>
          <w:szCs w:val="24"/>
          <w:lang w:val="en-GB"/>
        </w:rPr>
      </w:pPr>
      <w:r w:rsidRPr="004756ED">
        <w:rPr>
          <w:rFonts w:eastAsia="Times New Roman" w:cs="Times New Roman"/>
          <w:b/>
          <w:bCs/>
          <w:szCs w:val="24"/>
          <w:lang w:val="en-GB"/>
        </w:rPr>
        <w:t>The employer must make sure that the foreigner has documents proving his/her qualifications (diploma, certificate, etc.); or</w:t>
      </w:r>
    </w:p>
    <w:p w:rsidR="004756ED" w:rsidRPr="004756ED" w:rsidRDefault="004756ED" w:rsidP="004756ED">
      <w:pPr>
        <w:spacing w:after="0" w:line="240" w:lineRule="auto"/>
        <w:jc w:val="both"/>
        <w:rPr>
          <w:rFonts w:eastAsia="Times New Roman" w:cs="Times New Roman"/>
          <w:szCs w:val="24"/>
          <w:lang w:val="en-GB"/>
        </w:rPr>
      </w:pPr>
    </w:p>
    <w:p w:rsidR="004756ED" w:rsidRPr="004756ED" w:rsidRDefault="004756ED" w:rsidP="004756ED">
      <w:pPr>
        <w:numPr>
          <w:ilvl w:val="1"/>
          <w:numId w:val="17"/>
        </w:numPr>
        <w:spacing w:after="0" w:line="240" w:lineRule="auto"/>
        <w:ind w:left="1418"/>
        <w:jc w:val="both"/>
        <w:rPr>
          <w:rFonts w:eastAsia="Calibri" w:cs="Times New Roman"/>
          <w:b/>
          <w:bCs/>
          <w:szCs w:val="24"/>
          <w:lang w:val="en-GB"/>
        </w:rPr>
      </w:pPr>
      <w:r w:rsidRPr="004756ED">
        <w:rPr>
          <w:rFonts w:eastAsia="Calibri" w:cs="Times New Roman"/>
          <w:b/>
          <w:bCs/>
          <w:szCs w:val="24"/>
          <w:lang w:val="en-GB"/>
        </w:rPr>
        <w:t xml:space="preserve">confirm that the foreigner has at least one year’s work experience in the last three years relevant to the work to be performed. </w:t>
      </w:r>
    </w:p>
    <w:p w:rsidR="004756ED" w:rsidRPr="004756ED" w:rsidRDefault="004756ED" w:rsidP="004756ED">
      <w:pPr>
        <w:spacing w:after="0" w:line="240" w:lineRule="auto"/>
        <w:ind w:left="720"/>
        <w:jc w:val="both"/>
        <w:rPr>
          <w:rFonts w:eastAsia="Times New Roman" w:cs="Times New Roman"/>
          <w:b/>
          <w:bCs/>
          <w:szCs w:val="24"/>
          <w:lang w:val="en-GB"/>
        </w:rPr>
      </w:pPr>
    </w:p>
    <w:p w:rsidR="004756ED" w:rsidRPr="004756ED" w:rsidRDefault="004756ED" w:rsidP="004756ED">
      <w:pPr>
        <w:spacing w:after="0" w:line="240" w:lineRule="auto"/>
        <w:ind w:left="720"/>
        <w:jc w:val="both"/>
        <w:rPr>
          <w:rFonts w:eastAsia="Times New Roman" w:cs="Times New Roman"/>
          <w:b/>
          <w:bCs/>
          <w:szCs w:val="24"/>
          <w:lang w:val="en-GB"/>
        </w:rPr>
      </w:pPr>
      <w:r w:rsidRPr="004756ED">
        <w:rPr>
          <w:rFonts w:eastAsia="Times New Roman" w:cs="Times New Roman"/>
          <w:b/>
          <w:bCs/>
          <w:szCs w:val="24"/>
          <w:lang w:val="en-GB"/>
        </w:rPr>
        <w:t xml:space="preserve">The employer must make sure that the foreigner has documents proving that he/she has at least one year's work experience in the last three years relevant to the work to be done (work book, certificate from current and/or former employer); or   </w:t>
      </w:r>
    </w:p>
    <w:p w:rsidR="004756ED" w:rsidRPr="004756ED" w:rsidRDefault="004756ED" w:rsidP="004756ED">
      <w:pPr>
        <w:spacing w:after="0" w:line="240" w:lineRule="auto"/>
        <w:jc w:val="both"/>
        <w:rPr>
          <w:rFonts w:eastAsia="Times New Roman" w:cs="Times New Roman"/>
          <w:szCs w:val="24"/>
          <w:lang w:val="en-GB"/>
        </w:rPr>
      </w:pPr>
    </w:p>
    <w:p w:rsidR="004756ED" w:rsidRPr="004756ED" w:rsidRDefault="004756ED" w:rsidP="004756ED">
      <w:pPr>
        <w:numPr>
          <w:ilvl w:val="1"/>
          <w:numId w:val="17"/>
        </w:numPr>
        <w:spacing w:after="0" w:line="240" w:lineRule="auto"/>
        <w:ind w:left="1418"/>
        <w:jc w:val="both"/>
        <w:rPr>
          <w:rFonts w:eastAsia="Calibri" w:cs="Times New Roman"/>
          <w:b/>
          <w:bCs/>
          <w:szCs w:val="24"/>
          <w:lang w:val="en-GB"/>
        </w:rPr>
      </w:pPr>
      <w:r w:rsidRPr="004756ED">
        <w:rPr>
          <w:rFonts w:eastAsia="Calibri" w:cs="Times New Roman"/>
          <w:b/>
          <w:bCs/>
          <w:szCs w:val="24"/>
          <w:lang w:val="en-GB"/>
        </w:rPr>
        <w:t>confirm that the foreigner will be paid a monthly salary of at least the last published average monthly gross salary for the calendar year.</w:t>
      </w:r>
    </w:p>
    <w:p w:rsidR="00802043" w:rsidRDefault="00802043" w:rsidP="004756ED">
      <w:pPr>
        <w:pStyle w:val="Betarp"/>
        <w:rPr>
          <w:b/>
          <w:szCs w:val="24"/>
          <w:lang w:val="en-GB"/>
        </w:rPr>
      </w:pPr>
    </w:p>
    <w:p w:rsidR="004756ED" w:rsidRDefault="004756ED" w:rsidP="004756ED">
      <w:pPr>
        <w:pStyle w:val="Betarp"/>
        <w:rPr>
          <w:b/>
          <w:szCs w:val="24"/>
          <w:lang w:val="en-GB"/>
        </w:rPr>
      </w:pPr>
    </w:p>
    <w:p w:rsidR="004756ED" w:rsidRPr="001977CA" w:rsidRDefault="004756ED" w:rsidP="004756ED">
      <w:pPr>
        <w:pStyle w:val="Betarp"/>
        <w:rPr>
          <w:b/>
          <w:szCs w:val="24"/>
          <w:lang w:val="en-GB"/>
        </w:rPr>
      </w:pPr>
    </w:p>
    <w:p w:rsidR="002C38D5" w:rsidRPr="001977CA" w:rsidRDefault="00C83B42" w:rsidP="002C38D5">
      <w:pPr>
        <w:pStyle w:val="Betarp"/>
        <w:jc w:val="both"/>
        <w:rPr>
          <w:rFonts w:eastAsia="Times New Roman" w:cs="Times New Roman"/>
          <w:b/>
          <w:bCs/>
          <w:i/>
          <w:color w:val="000000"/>
          <w:szCs w:val="24"/>
          <w:lang w:val="en-GB"/>
        </w:rPr>
      </w:pPr>
      <w:bookmarkStart w:id="6" w:name="_Hlk69109956"/>
      <w:r w:rsidRPr="001977CA">
        <w:rPr>
          <w:b/>
          <w:szCs w:val="24"/>
          <w:lang w:val="en-GB"/>
        </w:rPr>
        <w:lastRenderedPageBreak/>
        <w:t></w:t>
      </w:r>
      <w:r w:rsidRPr="001977CA">
        <w:rPr>
          <w:rFonts w:cs="Times New Roman"/>
          <w:b/>
          <w:color w:val="000000"/>
          <w:szCs w:val="24"/>
          <w:lang w:val="en-GB"/>
        </w:rPr>
        <w:t xml:space="preserve"> </w:t>
      </w:r>
      <w:r w:rsidR="002C38D5" w:rsidRPr="001977CA">
        <w:rPr>
          <w:rFonts w:eastAsia="Times New Roman" w:cs="Times New Roman"/>
          <w:b/>
          <w:bCs/>
          <w:color w:val="000000"/>
          <w:szCs w:val="24"/>
          <w:lang w:val="en-GB"/>
        </w:rPr>
        <w:t xml:space="preserve">The decision of the Employment Service regarding the </w:t>
      </w:r>
      <w:r w:rsidR="004756ED" w:rsidRPr="004756ED">
        <w:rPr>
          <w:rFonts w:eastAsia="Times New Roman" w:cs="Times New Roman"/>
          <w:b/>
          <w:bCs/>
          <w:color w:val="000000"/>
          <w:szCs w:val="24"/>
          <w:lang w:val="en-GB"/>
        </w:rPr>
        <w:t>foreigner</w:t>
      </w:r>
      <w:r w:rsidR="002C38D5" w:rsidRPr="001977CA">
        <w:rPr>
          <w:rFonts w:eastAsia="Times New Roman" w:cs="Times New Roman"/>
          <w:b/>
          <w:bCs/>
          <w:color w:val="000000"/>
          <w:szCs w:val="24"/>
          <w:lang w:val="en-GB"/>
        </w:rPr>
        <w:t xml:space="preserve">’s work conformity to the needs of Republic of Lithuania </w:t>
      </w:r>
      <w:r w:rsidR="001977CA" w:rsidRPr="001977CA">
        <w:rPr>
          <w:rFonts w:eastAsia="Times New Roman" w:cs="Times New Roman"/>
          <w:b/>
          <w:bCs/>
          <w:color w:val="000000"/>
          <w:szCs w:val="24"/>
          <w:lang w:val="en-GB"/>
        </w:rPr>
        <w:t>labour</w:t>
      </w:r>
      <w:r w:rsidR="002C38D5" w:rsidRPr="001977CA">
        <w:rPr>
          <w:rFonts w:eastAsia="Times New Roman" w:cs="Times New Roman"/>
          <w:b/>
          <w:bCs/>
          <w:color w:val="000000"/>
          <w:szCs w:val="24"/>
          <w:lang w:val="en-GB"/>
        </w:rPr>
        <w:t xml:space="preserve"> market</w:t>
      </w:r>
      <w:r w:rsidR="0065450A" w:rsidRPr="001977CA">
        <w:rPr>
          <w:rFonts w:eastAsia="Times New Roman" w:cs="Times New Roman"/>
          <w:b/>
          <w:bCs/>
          <w:color w:val="000000"/>
          <w:szCs w:val="24"/>
          <w:lang w:val="en-GB"/>
        </w:rPr>
        <w:t xml:space="preserve">, </w:t>
      </w:r>
      <w:r w:rsidR="0065450A" w:rsidRPr="001977CA">
        <w:rPr>
          <w:rFonts w:eastAsia="Times New Roman" w:cs="Times New Roman"/>
          <w:b/>
          <w:bCs/>
          <w:i/>
          <w:color w:val="000000"/>
          <w:szCs w:val="24"/>
          <w:lang w:val="en-GB"/>
        </w:rPr>
        <w:t xml:space="preserve">in case </w:t>
      </w:r>
      <w:r w:rsidR="004756ED" w:rsidRPr="001977CA">
        <w:rPr>
          <w:rFonts w:eastAsia="Times New Roman" w:cs="Times New Roman"/>
          <w:b/>
          <w:bCs/>
          <w:i/>
          <w:color w:val="000000"/>
          <w:szCs w:val="24"/>
          <w:lang w:val="en-GB"/>
        </w:rPr>
        <w:t>a</w:t>
      </w:r>
      <w:r w:rsidR="004756ED">
        <w:rPr>
          <w:rFonts w:eastAsia="Times New Roman" w:cs="Times New Roman"/>
          <w:b/>
          <w:bCs/>
          <w:i/>
          <w:color w:val="000000"/>
          <w:szCs w:val="24"/>
          <w:lang w:val="en-GB"/>
        </w:rPr>
        <w:t xml:space="preserve"> </w:t>
      </w:r>
      <w:r w:rsidR="004756ED" w:rsidRPr="004756ED">
        <w:rPr>
          <w:rFonts w:eastAsia="Times New Roman" w:cs="Times New Roman"/>
          <w:b/>
          <w:bCs/>
          <w:i/>
          <w:color w:val="000000"/>
          <w:szCs w:val="24"/>
          <w:lang w:val="en-GB"/>
        </w:rPr>
        <w:t>foreigner</w:t>
      </w:r>
      <w:r w:rsidR="0065450A" w:rsidRPr="001977CA">
        <w:rPr>
          <w:rFonts w:eastAsia="Times New Roman" w:cs="Times New Roman"/>
          <w:b/>
          <w:bCs/>
          <w:i/>
          <w:color w:val="000000"/>
          <w:szCs w:val="24"/>
          <w:lang w:val="en-GB"/>
        </w:rPr>
        <w:t xml:space="preserve"> require</w:t>
      </w:r>
      <w:r w:rsidR="00DC3BAB" w:rsidRPr="001977CA">
        <w:rPr>
          <w:rFonts w:eastAsia="Times New Roman" w:cs="Times New Roman"/>
          <w:b/>
          <w:bCs/>
          <w:i/>
          <w:color w:val="000000"/>
          <w:szCs w:val="24"/>
          <w:lang w:val="en-GB"/>
        </w:rPr>
        <w:t>s</w:t>
      </w:r>
      <w:r w:rsidR="0065450A" w:rsidRPr="001977CA">
        <w:rPr>
          <w:rFonts w:eastAsia="Times New Roman" w:cs="Times New Roman"/>
          <w:b/>
          <w:bCs/>
          <w:i/>
          <w:color w:val="000000"/>
          <w:szCs w:val="24"/>
          <w:lang w:val="en-GB"/>
        </w:rPr>
        <w:t xml:space="preserve"> evaluation of </w:t>
      </w:r>
      <w:r w:rsidR="00DC3BAB" w:rsidRPr="001977CA">
        <w:rPr>
          <w:rFonts w:eastAsia="Times New Roman" w:cs="Times New Roman"/>
          <w:b/>
          <w:bCs/>
          <w:i/>
          <w:color w:val="000000"/>
          <w:szCs w:val="24"/>
          <w:lang w:val="en-GB"/>
        </w:rPr>
        <w:t>his/her</w:t>
      </w:r>
      <w:r w:rsidR="0065450A" w:rsidRPr="001977CA">
        <w:rPr>
          <w:rFonts w:eastAsia="Times New Roman" w:cs="Times New Roman"/>
          <w:b/>
          <w:bCs/>
          <w:i/>
          <w:color w:val="000000"/>
          <w:szCs w:val="24"/>
          <w:lang w:val="en-GB"/>
        </w:rPr>
        <w:t xml:space="preserve"> work compliance with the Lithuanian Republic labour market needs</w:t>
      </w:r>
      <w:r w:rsidR="00633162" w:rsidRPr="001977CA">
        <w:rPr>
          <w:rFonts w:eastAsia="Times New Roman" w:cs="Times New Roman"/>
          <w:b/>
          <w:bCs/>
          <w:color w:val="000000"/>
          <w:szCs w:val="24"/>
          <w:vertAlign w:val="superscript"/>
          <w:lang w:val="en-GB"/>
        </w:rPr>
        <w:t>*</w:t>
      </w:r>
      <w:r w:rsidR="002C38D5" w:rsidRPr="001977CA">
        <w:rPr>
          <w:rFonts w:eastAsia="Times New Roman" w:cs="Times New Roman"/>
          <w:b/>
          <w:bCs/>
          <w:color w:val="000000"/>
          <w:szCs w:val="24"/>
          <w:lang w:val="en-GB"/>
        </w:rPr>
        <w:t xml:space="preserve"> </w:t>
      </w:r>
      <w:r w:rsidR="002C38D5" w:rsidRPr="001977CA">
        <w:rPr>
          <w:rFonts w:eastAsia="Times New Roman" w:cs="Times New Roman"/>
          <w:bCs/>
          <w:i/>
          <w:color w:val="000000"/>
          <w:szCs w:val="24"/>
          <w:lang w:val="en-GB"/>
        </w:rPr>
        <w:t>(the Migration Department shall receive the decision of the Employment Service);</w:t>
      </w:r>
    </w:p>
    <w:bookmarkEnd w:id="6"/>
    <w:p w:rsidR="00C83B42" w:rsidRPr="001977CA" w:rsidRDefault="00C83B42" w:rsidP="00802043">
      <w:pPr>
        <w:pStyle w:val="Betarp"/>
        <w:jc w:val="both"/>
        <w:rPr>
          <w:rFonts w:eastAsia="Times New Roman" w:cs="Times New Roman"/>
          <w:bCs/>
          <w:i/>
          <w:color w:val="000000"/>
          <w:szCs w:val="24"/>
          <w:lang w:val="en-GB"/>
        </w:rPr>
      </w:pPr>
    </w:p>
    <w:p w:rsidR="00633162" w:rsidRPr="001977CA" w:rsidRDefault="005A6DF0" w:rsidP="00633162">
      <w:pPr>
        <w:pStyle w:val="Betarp"/>
        <w:jc w:val="both"/>
        <w:rPr>
          <w:rFonts w:cs="Times New Roman"/>
          <w:b/>
          <w:szCs w:val="24"/>
          <w:lang w:val="en-GB"/>
        </w:rPr>
      </w:pPr>
      <w:bookmarkStart w:id="7" w:name="_Hlk69109983"/>
      <w:r w:rsidRPr="001977CA">
        <w:rPr>
          <w:b/>
          <w:szCs w:val="24"/>
          <w:lang w:val="en-GB"/>
        </w:rPr>
        <w:t></w:t>
      </w:r>
      <w:r w:rsidRPr="001977CA">
        <w:rPr>
          <w:rFonts w:cs="Times New Roman"/>
          <w:b/>
          <w:szCs w:val="24"/>
          <w:lang w:val="en-GB"/>
        </w:rPr>
        <w:t xml:space="preserve"> </w:t>
      </w:r>
      <w:bookmarkStart w:id="8" w:name="_Hlk126235611"/>
      <w:r w:rsidR="002C38D5" w:rsidRPr="001977CA">
        <w:rPr>
          <w:b/>
          <w:i/>
          <w:szCs w:val="24"/>
          <w:lang w:val="en-GB"/>
        </w:rPr>
        <w:t xml:space="preserve">If another person paid the public fees for the </w:t>
      </w:r>
      <w:r w:rsidR="004756ED" w:rsidRPr="004756ED">
        <w:rPr>
          <w:b/>
          <w:bCs/>
          <w:i/>
          <w:szCs w:val="24"/>
          <w:lang w:val="en-GB"/>
        </w:rPr>
        <w:t>foreigner</w:t>
      </w:r>
      <w:r w:rsidR="002C38D5" w:rsidRPr="001977CA">
        <w:rPr>
          <w:b/>
          <w:szCs w:val="24"/>
          <w:lang w:val="en-GB"/>
        </w:rPr>
        <w:t xml:space="preserve">: the extended form of the payment order of the paid public fees, wherein the name(s), surname(s), personal identification number or date of birth of the </w:t>
      </w:r>
      <w:r w:rsidR="004756ED" w:rsidRPr="004756ED">
        <w:rPr>
          <w:b/>
          <w:bCs/>
          <w:szCs w:val="24"/>
          <w:lang w:val="en-GB"/>
        </w:rPr>
        <w:t>foreigner</w:t>
      </w:r>
      <w:r w:rsidR="002C38D5" w:rsidRPr="001977CA">
        <w:rPr>
          <w:b/>
          <w:szCs w:val="24"/>
          <w:lang w:val="en-GB"/>
        </w:rPr>
        <w:t xml:space="preserve">, for whom the payment was made, is indicated.     </w:t>
      </w:r>
      <w:bookmarkEnd w:id="8"/>
    </w:p>
    <w:bookmarkEnd w:id="7"/>
    <w:p w:rsidR="004F25B8" w:rsidRPr="001977CA" w:rsidRDefault="004F25B8" w:rsidP="00204BF2">
      <w:pPr>
        <w:pStyle w:val="Betarp"/>
        <w:jc w:val="both"/>
        <w:rPr>
          <w:b/>
          <w:szCs w:val="24"/>
          <w:lang w:val="en-GB" w:eastAsia="lt-LT"/>
        </w:rPr>
      </w:pPr>
    </w:p>
    <w:p w:rsidR="001977CA" w:rsidRPr="001977CA" w:rsidRDefault="001977CA" w:rsidP="001977CA">
      <w:pPr>
        <w:spacing w:after="0" w:line="240" w:lineRule="auto"/>
        <w:rPr>
          <w:rFonts w:eastAsia="Times New Roman" w:cs="Times New Roman"/>
          <w:color w:val="000000"/>
          <w:sz w:val="22"/>
          <w:lang w:val="en-GB"/>
        </w:rPr>
      </w:pPr>
      <w:bookmarkStart w:id="9" w:name="_Hlk69110009"/>
      <w:r w:rsidRPr="001977CA">
        <w:rPr>
          <w:color w:val="000000"/>
          <w:sz w:val="22"/>
          <w:lang w:val="en-GB"/>
        </w:rPr>
        <w:t xml:space="preserve">I have checked whether all of the necessary documents were submitted ___________________________________________________________________, </w:t>
      </w:r>
    </w:p>
    <w:p w:rsidR="00FD2721" w:rsidRPr="001977CA" w:rsidRDefault="001977CA" w:rsidP="001977CA">
      <w:pPr>
        <w:spacing w:after="0" w:line="240" w:lineRule="auto"/>
        <w:rPr>
          <w:rFonts w:eastAsia="Times New Roman" w:cs="Times New Roman"/>
          <w:color w:val="000000"/>
          <w:szCs w:val="24"/>
          <w:lang w:val="en-GB"/>
        </w:rPr>
      </w:pPr>
      <w:r w:rsidRPr="001977CA">
        <w:rPr>
          <w:color w:val="000000"/>
          <w:vertAlign w:val="superscript"/>
          <w:lang w:val="en-GB"/>
        </w:rPr>
        <w:t xml:space="preserve">                              (Citizenship, name(s), surname(s) and date of birth of the alien)                                        </w:t>
      </w:r>
    </w:p>
    <w:p w:rsidR="004F25B8" w:rsidRPr="001977CA" w:rsidRDefault="004F25B8" w:rsidP="00204BF2">
      <w:pPr>
        <w:spacing w:after="0" w:line="240" w:lineRule="auto"/>
        <w:rPr>
          <w:rFonts w:eastAsia="Times New Roman" w:cs="Times New Roman"/>
          <w:color w:val="000000"/>
          <w:sz w:val="16"/>
          <w:szCs w:val="16"/>
          <w:lang w:val="en-GB"/>
        </w:rPr>
      </w:pPr>
    </w:p>
    <w:p w:rsidR="001977CA" w:rsidRPr="001977CA" w:rsidRDefault="001977CA" w:rsidP="001977CA">
      <w:pPr>
        <w:spacing w:after="0" w:line="240" w:lineRule="auto"/>
        <w:rPr>
          <w:rFonts w:eastAsia="Times New Roman" w:cs="Times New Roman"/>
          <w:color w:val="000000"/>
          <w:sz w:val="22"/>
          <w:lang w:val="en-GB"/>
        </w:rPr>
      </w:pPr>
      <w:bookmarkStart w:id="10" w:name="_Hlk13923128"/>
      <w:r w:rsidRPr="001977CA">
        <w:rPr>
          <w:color w:val="000000"/>
          <w:sz w:val="22"/>
          <w:lang w:val="en-GB"/>
        </w:rPr>
        <w:t xml:space="preserve">and I have accepted/not-accepted them:                                                                                   </w:t>
      </w:r>
    </w:p>
    <w:bookmarkEnd w:id="10"/>
    <w:p w:rsidR="001977CA" w:rsidRPr="001977CA" w:rsidRDefault="001977CA" w:rsidP="001977CA">
      <w:pPr>
        <w:spacing w:after="0" w:line="240" w:lineRule="auto"/>
        <w:jc w:val="both"/>
        <w:rPr>
          <w:rFonts w:eastAsia="Calibri" w:cs="Times New Roman"/>
          <w:b/>
          <w:szCs w:val="24"/>
          <w:lang w:val="en-GB" w:eastAsia="lt-LT"/>
        </w:rPr>
      </w:pPr>
      <w:r w:rsidRPr="001977CA">
        <w:rPr>
          <w:noProof/>
        </w:rPr>
        <w:drawing>
          <wp:inline distT="0" distB="0" distL="0" distR="0">
            <wp:extent cx="6120765" cy="102167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1021670"/>
                    </a:xfrm>
                    <a:prstGeom prst="rect">
                      <a:avLst/>
                    </a:prstGeom>
                    <a:noFill/>
                    <a:ln>
                      <a:noFill/>
                    </a:ln>
                  </pic:spPr>
                </pic:pic>
              </a:graphicData>
            </a:graphic>
          </wp:inline>
        </w:drawing>
      </w:r>
    </w:p>
    <w:p w:rsidR="001977CA" w:rsidRDefault="001977CA" w:rsidP="00204BF2">
      <w:pPr>
        <w:pStyle w:val="Betarp"/>
        <w:rPr>
          <w:rFonts w:eastAsia="Times New Roman" w:cs="Times New Roman"/>
          <w:color w:val="000000"/>
          <w:sz w:val="16"/>
          <w:szCs w:val="16"/>
        </w:rPr>
      </w:pPr>
    </w:p>
    <w:p w:rsidR="001977CA" w:rsidRDefault="001977CA" w:rsidP="00204BF2">
      <w:pPr>
        <w:pStyle w:val="Betarp"/>
        <w:rPr>
          <w:rFonts w:eastAsia="Times New Roman" w:cs="Times New Roman"/>
          <w:color w:val="000000"/>
          <w:sz w:val="16"/>
          <w:szCs w:val="16"/>
        </w:rPr>
      </w:pPr>
    </w:p>
    <w:bookmarkEnd w:id="9"/>
    <w:p w:rsidR="001977CA" w:rsidRDefault="001977CA" w:rsidP="00204BF2">
      <w:pPr>
        <w:pStyle w:val="Betarp"/>
        <w:rPr>
          <w:rFonts w:eastAsia="Times New Roman" w:cs="Times New Roman"/>
          <w:color w:val="000000"/>
          <w:sz w:val="16"/>
          <w:szCs w:val="16"/>
        </w:rPr>
      </w:pPr>
    </w:p>
    <w:p w:rsidR="001977CA" w:rsidRDefault="001977CA" w:rsidP="00204BF2">
      <w:pPr>
        <w:pStyle w:val="Betarp"/>
        <w:rPr>
          <w:rFonts w:eastAsia="Times New Roman" w:cs="Times New Roman"/>
          <w:color w:val="000000"/>
          <w:sz w:val="16"/>
          <w:szCs w:val="16"/>
        </w:rPr>
      </w:pPr>
      <w:bookmarkStart w:id="11" w:name="_GoBack"/>
      <w:bookmarkEnd w:id="11"/>
    </w:p>
    <w:p w:rsidR="00204BF2" w:rsidRDefault="00204BF2" w:rsidP="00204BF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w:t>
      </w:r>
    </w:p>
    <w:p w:rsidR="004756ED" w:rsidRPr="004756ED" w:rsidRDefault="00045B35" w:rsidP="004756ED">
      <w:pPr>
        <w:pStyle w:val="Betarp"/>
        <w:jc w:val="both"/>
        <w:rPr>
          <w:b/>
          <w:bCs/>
          <w:sz w:val="22"/>
          <w:lang w:val="en-GB"/>
        </w:rPr>
      </w:pPr>
      <w:r w:rsidRPr="00045B35">
        <w:rPr>
          <w:b/>
          <w:bCs/>
          <w:sz w:val="22"/>
        </w:rPr>
        <w:t>*</w:t>
      </w:r>
      <w:r w:rsidR="004756ED" w:rsidRPr="004756ED">
        <w:rPr>
          <w:rFonts w:eastAsia="Times New Roman" w:cs="Times New Roman"/>
          <w:sz w:val="22"/>
          <w:lang w:val="en-GB"/>
        </w:rPr>
        <w:t xml:space="preserve"> </w:t>
      </w:r>
      <w:r w:rsidR="004756ED" w:rsidRPr="004756ED">
        <w:rPr>
          <w:b/>
          <w:bCs/>
          <w:sz w:val="22"/>
          <w:lang w:val="en-GB"/>
        </w:rPr>
        <w:t>Required if the foreigner intends to work under an employment contract, unless:</w:t>
      </w:r>
    </w:p>
    <w:p w:rsidR="004756ED" w:rsidRPr="004756ED" w:rsidRDefault="004756ED" w:rsidP="004756ED">
      <w:pPr>
        <w:pStyle w:val="Betarp"/>
        <w:numPr>
          <w:ilvl w:val="1"/>
          <w:numId w:val="18"/>
        </w:numPr>
        <w:jc w:val="both"/>
        <w:rPr>
          <w:b/>
          <w:bCs/>
          <w:sz w:val="22"/>
          <w:lang w:val="en-GB"/>
        </w:rPr>
      </w:pPr>
      <w:r w:rsidRPr="004756ED">
        <w:rPr>
          <w:b/>
          <w:bCs/>
          <w:sz w:val="22"/>
          <w:lang w:val="en-GB"/>
        </w:rPr>
        <w:t>if the foreigner, having completed studies or training under a formal vocational training programme in the Republic of Lithuania, intends to work and applies within 10 years after completing studies or training under a formal vocational training programme; or</w:t>
      </w:r>
    </w:p>
    <w:p w:rsidR="004756ED" w:rsidRPr="004756ED" w:rsidRDefault="004756ED" w:rsidP="004756ED">
      <w:pPr>
        <w:pStyle w:val="Betarp"/>
        <w:jc w:val="both"/>
        <w:rPr>
          <w:b/>
          <w:bCs/>
          <w:sz w:val="22"/>
          <w:lang w:val="en-GB"/>
        </w:rPr>
      </w:pPr>
    </w:p>
    <w:p w:rsidR="004756ED" w:rsidRPr="004756ED" w:rsidRDefault="004756ED" w:rsidP="004756ED">
      <w:pPr>
        <w:pStyle w:val="Betarp"/>
        <w:numPr>
          <w:ilvl w:val="1"/>
          <w:numId w:val="18"/>
        </w:numPr>
        <w:jc w:val="both"/>
        <w:rPr>
          <w:b/>
          <w:bCs/>
          <w:sz w:val="22"/>
          <w:lang w:val="en-GB"/>
        </w:rPr>
      </w:pPr>
      <w:r w:rsidRPr="004756ED">
        <w:rPr>
          <w:b/>
          <w:bCs/>
          <w:sz w:val="22"/>
          <w:lang w:val="en-GB"/>
        </w:rPr>
        <w:t>if the foreigner's occupation is included in the list of occupations for which there is a shortage of workers in the Republic of Lithuania, according to the type of economic activity. If the quota of foreigners who come to Lithuania to work in an occupation that is in short supply in Lithuania has been exhausted for a calendar year, the employer must apply to the territorial unit of the Employment Service for a decision that the foreigner's work corresponds to the needs of the Lithuanian labour market;</w:t>
      </w:r>
    </w:p>
    <w:p w:rsidR="004756ED" w:rsidRPr="004756ED" w:rsidRDefault="004756ED" w:rsidP="004756ED">
      <w:pPr>
        <w:pStyle w:val="Betarp"/>
        <w:jc w:val="both"/>
        <w:rPr>
          <w:b/>
          <w:bCs/>
          <w:sz w:val="22"/>
          <w:lang w:val="en-GB"/>
        </w:rPr>
      </w:pPr>
    </w:p>
    <w:p w:rsidR="004756ED" w:rsidRPr="004756ED" w:rsidRDefault="004756ED" w:rsidP="004756ED">
      <w:pPr>
        <w:pStyle w:val="Betarp"/>
        <w:numPr>
          <w:ilvl w:val="1"/>
          <w:numId w:val="18"/>
        </w:numPr>
        <w:jc w:val="both"/>
        <w:rPr>
          <w:b/>
          <w:bCs/>
          <w:sz w:val="22"/>
          <w:lang w:val="en-GB"/>
        </w:rPr>
      </w:pPr>
      <w:r w:rsidRPr="004756ED">
        <w:rPr>
          <w:b/>
          <w:bCs/>
          <w:sz w:val="22"/>
          <w:lang w:val="en-GB"/>
        </w:rPr>
        <w:t>where the foreigner is a citizen of Ukraine.</w:t>
      </w:r>
    </w:p>
    <w:p w:rsidR="00633162" w:rsidRPr="00045B35" w:rsidRDefault="00633162" w:rsidP="004756ED">
      <w:pPr>
        <w:pStyle w:val="Betarp"/>
        <w:jc w:val="both"/>
        <w:rPr>
          <w:b/>
          <w:bCs/>
          <w:sz w:val="22"/>
          <w:lang w:val="en-GB"/>
        </w:rPr>
      </w:pPr>
    </w:p>
    <w:p w:rsidR="00633162" w:rsidRPr="00633162" w:rsidRDefault="00633162" w:rsidP="00802043">
      <w:pPr>
        <w:pStyle w:val="Betarp"/>
        <w:jc w:val="both"/>
        <w:rPr>
          <w:sz w:val="22"/>
          <w:lang w:val="en-GB"/>
        </w:rPr>
      </w:pPr>
    </w:p>
    <w:sectPr w:rsidR="00633162" w:rsidRPr="00633162" w:rsidSect="00802043">
      <w:headerReference w:type="default" r:id="rId9"/>
      <w:pgSz w:w="11906" w:h="16838" w:code="9"/>
      <w:pgMar w:top="238" w:right="849" w:bottom="39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D0E" w:rsidRDefault="00FE0D0E" w:rsidP="00204BF2">
      <w:pPr>
        <w:spacing w:after="0" w:line="240" w:lineRule="auto"/>
      </w:pPr>
      <w:r>
        <w:separator/>
      </w:r>
    </w:p>
  </w:endnote>
  <w:endnote w:type="continuationSeparator" w:id="0">
    <w:p w:rsidR="00FE0D0E" w:rsidRDefault="00FE0D0E" w:rsidP="00204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D0E" w:rsidRDefault="00FE0D0E" w:rsidP="00204BF2">
      <w:pPr>
        <w:spacing w:after="0" w:line="240" w:lineRule="auto"/>
      </w:pPr>
      <w:r>
        <w:separator/>
      </w:r>
    </w:p>
  </w:footnote>
  <w:footnote w:type="continuationSeparator" w:id="0">
    <w:p w:rsidR="00FE0D0E" w:rsidRDefault="00FE0D0E" w:rsidP="00204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865475"/>
      <w:docPartObj>
        <w:docPartGallery w:val="Page Numbers (Top of Page)"/>
        <w:docPartUnique/>
      </w:docPartObj>
    </w:sdtPr>
    <w:sdtEndPr/>
    <w:sdtContent>
      <w:p w:rsidR="00204BF2" w:rsidRDefault="00204BF2">
        <w:pPr>
          <w:pStyle w:val="Antrats"/>
          <w:jc w:val="center"/>
        </w:pPr>
        <w:r>
          <w:fldChar w:fldCharType="begin"/>
        </w:r>
        <w:r>
          <w:instrText>PAGE   \* MERGEFORMAT</w:instrText>
        </w:r>
        <w:r>
          <w:fldChar w:fldCharType="separate"/>
        </w:r>
        <w:r w:rsidR="00D74965">
          <w:rPr>
            <w:noProof/>
          </w:rPr>
          <w:t>2</w:t>
        </w:r>
        <w:r>
          <w:fldChar w:fldCharType="end"/>
        </w:r>
      </w:p>
    </w:sdtContent>
  </w:sdt>
  <w:p w:rsidR="00204BF2" w:rsidRDefault="00204BF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AA5"/>
    <w:multiLevelType w:val="hybridMultilevel"/>
    <w:tmpl w:val="1780C94E"/>
    <w:lvl w:ilvl="0" w:tplc="08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 w15:restartNumberingAfterBreak="0">
    <w:nsid w:val="09B16FC7"/>
    <w:multiLevelType w:val="multilevel"/>
    <w:tmpl w:val="E9EE0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50C9B"/>
    <w:multiLevelType w:val="multilevel"/>
    <w:tmpl w:val="A12C9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A47B0"/>
    <w:multiLevelType w:val="multilevel"/>
    <w:tmpl w:val="EA3C8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144377BC"/>
    <w:multiLevelType w:val="hybridMultilevel"/>
    <w:tmpl w:val="80F8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20533"/>
    <w:multiLevelType w:val="hybridMultilevel"/>
    <w:tmpl w:val="55B8F48C"/>
    <w:lvl w:ilvl="0" w:tplc="04090003">
      <w:start w:val="1"/>
      <w:numFmt w:val="bullet"/>
      <w:lvlText w:val="o"/>
      <w:lvlJc w:val="left"/>
      <w:pPr>
        <w:ind w:left="1030" w:hanging="360"/>
      </w:pPr>
      <w:rPr>
        <w:rFonts w:ascii="Courier New" w:hAnsi="Courier New" w:cs="Courier New"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7" w15:restartNumberingAfterBreak="0">
    <w:nsid w:val="1F1B73FE"/>
    <w:multiLevelType w:val="hybridMultilevel"/>
    <w:tmpl w:val="56207F44"/>
    <w:lvl w:ilvl="0" w:tplc="04090003">
      <w:start w:val="1"/>
      <w:numFmt w:val="bullet"/>
      <w:lvlText w:val="o"/>
      <w:lvlJc w:val="left"/>
      <w:pPr>
        <w:ind w:left="1341" w:hanging="360"/>
      </w:pPr>
      <w:rPr>
        <w:rFonts w:ascii="Courier New" w:hAnsi="Courier New" w:cs="Courier New" w:hint="default"/>
      </w:rPr>
    </w:lvl>
    <w:lvl w:ilvl="1" w:tplc="04090003" w:tentative="1">
      <w:start w:val="1"/>
      <w:numFmt w:val="bullet"/>
      <w:lvlText w:val="o"/>
      <w:lvlJc w:val="left"/>
      <w:pPr>
        <w:ind w:left="2061" w:hanging="360"/>
      </w:pPr>
      <w:rPr>
        <w:rFonts w:ascii="Courier New" w:hAnsi="Courier New" w:cs="Courier New" w:hint="default"/>
      </w:rPr>
    </w:lvl>
    <w:lvl w:ilvl="2" w:tplc="04090005" w:tentative="1">
      <w:start w:val="1"/>
      <w:numFmt w:val="bullet"/>
      <w:lvlText w:val=""/>
      <w:lvlJc w:val="left"/>
      <w:pPr>
        <w:ind w:left="2781" w:hanging="360"/>
      </w:pPr>
      <w:rPr>
        <w:rFonts w:ascii="Wingdings" w:hAnsi="Wingdings" w:hint="default"/>
      </w:rPr>
    </w:lvl>
    <w:lvl w:ilvl="3" w:tplc="04090001" w:tentative="1">
      <w:start w:val="1"/>
      <w:numFmt w:val="bullet"/>
      <w:lvlText w:val=""/>
      <w:lvlJc w:val="left"/>
      <w:pPr>
        <w:ind w:left="3501" w:hanging="360"/>
      </w:pPr>
      <w:rPr>
        <w:rFonts w:ascii="Symbol" w:hAnsi="Symbol" w:hint="default"/>
      </w:rPr>
    </w:lvl>
    <w:lvl w:ilvl="4" w:tplc="04090003" w:tentative="1">
      <w:start w:val="1"/>
      <w:numFmt w:val="bullet"/>
      <w:lvlText w:val="o"/>
      <w:lvlJc w:val="left"/>
      <w:pPr>
        <w:ind w:left="4221" w:hanging="360"/>
      </w:pPr>
      <w:rPr>
        <w:rFonts w:ascii="Courier New" w:hAnsi="Courier New" w:cs="Courier New" w:hint="default"/>
      </w:rPr>
    </w:lvl>
    <w:lvl w:ilvl="5" w:tplc="04090005" w:tentative="1">
      <w:start w:val="1"/>
      <w:numFmt w:val="bullet"/>
      <w:lvlText w:val=""/>
      <w:lvlJc w:val="left"/>
      <w:pPr>
        <w:ind w:left="4941" w:hanging="360"/>
      </w:pPr>
      <w:rPr>
        <w:rFonts w:ascii="Wingdings" w:hAnsi="Wingdings" w:hint="default"/>
      </w:rPr>
    </w:lvl>
    <w:lvl w:ilvl="6" w:tplc="04090001" w:tentative="1">
      <w:start w:val="1"/>
      <w:numFmt w:val="bullet"/>
      <w:lvlText w:val=""/>
      <w:lvlJc w:val="left"/>
      <w:pPr>
        <w:ind w:left="5661" w:hanging="360"/>
      </w:pPr>
      <w:rPr>
        <w:rFonts w:ascii="Symbol" w:hAnsi="Symbol" w:hint="default"/>
      </w:rPr>
    </w:lvl>
    <w:lvl w:ilvl="7" w:tplc="04090003" w:tentative="1">
      <w:start w:val="1"/>
      <w:numFmt w:val="bullet"/>
      <w:lvlText w:val="o"/>
      <w:lvlJc w:val="left"/>
      <w:pPr>
        <w:ind w:left="6381" w:hanging="360"/>
      </w:pPr>
      <w:rPr>
        <w:rFonts w:ascii="Courier New" w:hAnsi="Courier New" w:cs="Courier New" w:hint="default"/>
      </w:rPr>
    </w:lvl>
    <w:lvl w:ilvl="8" w:tplc="04090005" w:tentative="1">
      <w:start w:val="1"/>
      <w:numFmt w:val="bullet"/>
      <w:lvlText w:val=""/>
      <w:lvlJc w:val="left"/>
      <w:pPr>
        <w:ind w:left="7101" w:hanging="360"/>
      </w:pPr>
      <w:rPr>
        <w:rFonts w:ascii="Wingdings" w:hAnsi="Wingdings" w:hint="default"/>
      </w:rPr>
    </w:lvl>
  </w:abstractNum>
  <w:abstractNum w:abstractNumId="8" w15:restartNumberingAfterBreak="0">
    <w:nsid w:val="212D76D6"/>
    <w:multiLevelType w:val="hybridMultilevel"/>
    <w:tmpl w:val="A4362D9C"/>
    <w:lvl w:ilvl="0" w:tplc="04090003">
      <w:start w:val="1"/>
      <w:numFmt w:val="bullet"/>
      <w:lvlText w:val="o"/>
      <w:lvlJc w:val="left"/>
      <w:pPr>
        <w:ind w:left="968" w:hanging="360"/>
      </w:pPr>
      <w:rPr>
        <w:rFonts w:ascii="Courier New" w:hAnsi="Courier New" w:cs="Courier New"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9"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9821BE"/>
    <w:multiLevelType w:val="hybridMultilevel"/>
    <w:tmpl w:val="8B7A473A"/>
    <w:lvl w:ilvl="0" w:tplc="04270001">
      <w:start w:val="1"/>
      <w:numFmt w:val="bullet"/>
      <w:lvlText w:val=""/>
      <w:lvlJc w:val="left"/>
      <w:pPr>
        <w:ind w:left="1440" w:hanging="360"/>
      </w:pPr>
      <w:rPr>
        <w:rFonts w:ascii="Symbol" w:hAnsi="Symbol" w:hint="default"/>
      </w:rPr>
    </w:lvl>
    <w:lvl w:ilvl="1" w:tplc="04270001">
      <w:start w:val="1"/>
      <w:numFmt w:val="bullet"/>
      <w:lvlText w:val=""/>
      <w:lvlJc w:val="left"/>
      <w:pPr>
        <w:ind w:left="2160" w:hanging="360"/>
      </w:pPr>
      <w:rPr>
        <w:rFonts w:ascii="Symbol" w:hAnsi="Symbol"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1" w15:restartNumberingAfterBreak="0">
    <w:nsid w:val="629B2967"/>
    <w:multiLevelType w:val="hybridMultilevel"/>
    <w:tmpl w:val="38AC906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2101115"/>
    <w:multiLevelType w:val="hybridMultilevel"/>
    <w:tmpl w:val="1CAE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A69B5"/>
    <w:multiLevelType w:val="hybridMultilevel"/>
    <w:tmpl w:val="1310CEFC"/>
    <w:lvl w:ilvl="0" w:tplc="04090001">
      <w:start w:val="1"/>
      <w:numFmt w:val="bullet"/>
      <w:lvlText w:val=""/>
      <w:lvlJc w:val="left"/>
      <w:pPr>
        <w:ind w:left="1320" w:hanging="360"/>
      </w:pPr>
      <w:rPr>
        <w:rFonts w:ascii="Symbol" w:hAnsi="Symbol"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4" w15:restartNumberingAfterBreak="0">
    <w:nsid w:val="7317082C"/>
    <w:multiLevelType w:val="multilevel"/>
    <w:tmpl w:val="76169C2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67F4612"/>
    <w:multiLevelType w:val="hybridMultilevel"/>
    <w:tmpl w:val="621AD702"/>
    <w:lvl w:ilvl="0" w:tplc="04090003">
      <w:start w:val="1"/>
      <w:numFmt w:val="bullet"/>
      <w:lvlText w:val="o"/>
      <w:lvlJc w:val="left"/>
      <w:pPr>
        <w:ind w:left="1136" w:hanging="360"/>
      </w:pPr>
      <w:rPr>
        <w:rFonts w:ascii="Courier New" w:hAnsi="Courier New" w:cs="Courier New"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6" w15:restartNumberingAfterBreak="0">
    <w:nsid w:val="7C5B014C"/>
    <w:multiLevelType w:val="hybridMultilevel"/>
    <w:tmpl w:val="FB7C87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6"/>
  </w:num>
  <w:num w:numId="5">
    <w:abstractNumId w:val="8"/>
  </w:num>
  <w:num w:numId="6">
    <w:abstractNumId w:val="15"/>
  </w:num>
  <w:num w:numId="7">
    <w:abstractNumId w:val="16"/>
  </w:num>
  <w:num w:numId="8">
    <w:abstractNumId w:val="7"/>
  </w:num>
  <w:num w:numId="9">
    <w:abstractNumId w:val="3"/>
  </w:num>
  <w:num w:numId="10">
    <w:abstractNumId w:val="13"/>
  </w:num>
  <w:num w:numId="11">
    <w:abstractNumId w:val="1"/>
  </w:num>
  <w:num w:numId="12">
    <w:abstractNumId w:val="12"/>
  </w:num>
  <w:num w:numId="13">
    <w:abstractNumId w:val="5"/>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25FA3"/>
    <w:rsid w:val="00036377"/>
    <w:rsid w:val="00045B35"/>
    <w:rsid w:val="00051A50"/>
    <w:rsid w:val="00097227"/>
    <w:rsid w:val="000A5359"/>
    <w:rsid w:val="000A79F1"/>
    <w:rsid w:val="000F2166"/>
    <w:rsid w:val="001116B7"/>
    <w:rsid w:val="0012508B"/>
    <w:rsid w:val="00170A5E"/>
    <w:rsid w:val="00182C17"/>
    <w:rsid w:val="001977CA"/>
    <w:rsid w:val="001B5945"/>
    <w:rsid w:val="001C547B"/>
    <w:rsid w:val="001E0850"/>
    <w:rsid w:val="00204BF2"/>
    <w:rsid w:val="00231447"/>
    <w:rsid w:val="002628A1"/>
    <w:rsid w:val="002844F3"/>
    <w:rsid w:val="002966F1"/>
    <w:rsid w:val="002C38D5"/>
    <w:rsid w:val="002E2D7A"/>
    <w:rsid w:val="002E3F26"/>
    <w:rsid w:val="003242ED"/>
    <w:rsid w:val="00363FB8"/>
    <w:rsid w:val="00366097"/>
    <w:rsid w:val="00375544"/>
    <w:rsid w:val="003856DC"/>
    <w:rsid w:val="00392461"/>
    <w:rsid w:val="003959BB"/>
    <w:rsid w:val="003B36F9"/>
    <w:rsid w:val="003D0AA4"/>
    <w:rsid w:val="003E4CCB"/>
    <w:rsid w:val="0041245F"/>
    <w:rsid w:val="004563D8"/>
    <w:rsid w:val="004756ED"/>
    <w:rsid w:val="00477AF1"/>
    <w:rsid w:val="004F1A99"/>
    <w:rsid w:val="004F25B8"/>
    <w:rsid w:val="00511EFF"/>
    <w:rsid w:val="00524738"/>
    <w:rsid w:val="00544158"/>
    <w:rsid w:val="0056081B"/>
    <w:rsid w:val="0057024E"/>
    <w:rsid w:val="005820C4"/>
    <w:rsid w:val="00592E00"/>
    <w:rsid w:val="005A6DF0"/>
    <w:rsid w:val="00613A98"/>
    <w:rsid w:val="00626F86"/>
    <w:rsid w:val="00633162"/>
    <w:rsid w:val="006537AE"/>
    <w:rsid w:val="0065450A"/>
    <w:rsid w:val="00663CCC"/>
    <w:rsid w:val="0067225C"/>
    <w:rsid w:val="006C0050"/>
    <w:rsid w:val="006D2763"/>
    <w:rsid w:val="006E48E7"/>
    <w:rsid w:val="006F3EAE"/>
    <w:rsid w:val="00710EB2"/>
    <w:rsid w:val="00715E8F"/>
    <w:rsid w:val="007266CC"/>
    <w:rsid w:val="0074186E"/>
    <w:rsid w:val="007462D7"/>
    <w:rsid w:val="00757764"/>
    <w:rsid w:val="00765DFB"/>
    <w:rsid w:val="00802043"/>
    <w:rsid w:val="008743C8"/>
    <w:rsid w:val="00885F54"/>
    <w:rsid w:val="008C593F"/>
    <w:rsid w:val="00902655"/>
    <w:rsid w:val="00944463"/>
    <w:rsid w:val="00947136"/>
    <w:rsid w:val="00961EEC"/>
    <w:rsid w:val="00962384"/>
    <w:rsid w:val="00966AEB"/>
    <w:rsid w:val="009C1606"/>
    <w:rsid w:val="00A11EAF"/>
    <w:rsid w:val="00A309C6"/>
    <w:rsid w:val="00A6192C"/>
    <w:rsid w:val="00A87585"/>
    <w:rsid w:val="00A92BB1"/>
    <w:rsid w:val="00A95610"/>
    <w:rsid w:val="00A95676"/>
    <w:rsid w:val="00AA732B"/>
    <w:rsid w:val="00B134AF"/>
    <w:rsid w:val="00B57F78"/>
    <w:rsid w:val="00B67609"/>
    <w:rsid w:val="00B86B9A"/>
    <w:rsid w:val="00BE65C3"/>
    <w:rsid w:val="00BF03A3"/>
    <w:rsid w:val="00C03504"/>
    <w:rsid w:val="00C2248A"/>
    <w:rsid w:val="00C83B42"/>
    <w:rsid w:val="00CA0B31"/>
    <w:rsid w:val="00CB504A"/>
    <w:rsid w:val="00D575EA"/>
    <w:rsid w:val="00D74965"/>
    <w:rsid w:val="00D77DEA"/>
    <w:rsid w:val="00DB0A1F"/>
    <w:rsid w:val="00DB7CBF"/>
    <w:rsid w:val="00DC2A60"/>
    <w:rsid w:val="00DC3BAB"/>
    <w:rsid w:val="00DC6736"/>
    <w:rsid w:val="00DF42E8"/>
    <w:rsid w:val="00E14A35"/>
    <w:rsid w:val="00E25E17"/>
    <w:rsid w:val="00E3502F"/>
    <w:rsid w:val="00E5105A"/>
    <w:rsid w:val="00E6188E"/>
    <w:rsid w:val="00E84F3A"/>
    <w:rsid w:val="00EB02C4"/>
    <w:rsid w:val="00ED37F7"/>
    <w:rsid w:val="00ED4C76"/>
    <w:rsid w:val="00EF36F1"/>
    <w:rsid w:val="00F06402"/>
    <w:rsid w:val="00F11189"/>
    <w:rsid w:val="00F13204"/>
    <w:rsid w:val="00F214FF"/>
    <w:rsid w:val="00F63805"/>
    <w:rsid w:val="00FC1D71"/>
    <w:rsid w:val="00FD2721"/>
    <w:rsid w:val="00FE0CDB"/>
    <w:rsid w:val="00FE0D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A606"/>
  <w15:docId w15:val="{EABB9992-C306-4B6D-A115-E35122BB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F214FF"/>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204BF2"/>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204BF2"/>
  </w:style>
  <w:style w:type="paragraph" w:styleId="Porat">
    <w:name w:val="footer"/>
    <w:basedOn w:val="prastasis"/>
    <w:link w:val="PoratDiagrama"/>
    <w:uiPriority w:val="99"/>
    <w:unhideWhenUsed/>
    <w:rsid w:val="00204BF2"/>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204BF2"/>
  </w:style>
  <w:style w:type="character" w:styleId="Hipersaitas">
    <w:name w:val="Hyperlink"/>
    <w:basedOn w:val="Numatytasispastraiposriftas"/>
    <w:unhideWhenUsed/>
    <w:rsid w:val="00ED37F7"/>
    <w:rPr>
      <w:color w:val="0000FF" w:themeColor="hyperlink"/>
      <w:u w:val="single"/>
    </w:rPr>
  </w:style>
  <w:style w:type="character" w:styleId="Neapdorotaspaminjimas">
    <w:name w:val="Unresolved Mention"/>
    <w:basedOn w:val="Numatytasispastraiposriftas"/>
    <w:uiPriority w:val="99"/>
    <w:semiHidden/>
    <w:unhideWhenUsed/>
    <w:rsid w:val="00ED3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333885">
      <w:bodyDiv w:val="1"/>
      <w:marLeft w:val="0"/>
      <w:marRight w:val="0"/>
      <w:marTop w:val="0"/>
      <w:marBottom w:val="0"/>
      <w:divBdr>
        <w:top w:val="none" w:sz="0" w:space="0" w:color="auto"/>
        <w:left w:val="none" w:sz="0" w:space="0" w:color="auto"/>
        <w:bottom w:val="none" w:sz="0" w:space="0" w:color="auto"/>
        <w:right w:val="none" w:sz="0" w:space="0" w:color="auto"/>
      </w:divBdr>
    </w:div>
    <w:div w:id="331808858">
      <w:bodyDiv w:val="1"/>
      <w:marLeft w:val="0"/>
      <w:marRight w:val="0"/>
      <w:marTop w:val="0"/>
      <w:marBottom w:val="0"/>
      <w:divBdr>
        <w:top w:val="none" w:sz="0" w:space="0" w:color="auto"/>
        <w:left w:val="none" w:sz="0" w:space="0" w:color="auto"/>
        <w:bottom w:val="none" w:sz="0" w:space="0" w:color="auto"/>
        <w:right w:val="none" w:sz="0" w:space="0" w:color="auto"/>
      </w:divBdr>
    </w:div>
    <w:div w:id="393627585">
      <w:bodyDiv w:val="1"/>
      <w:marLeft w:val="0"/>
      <w:marRight w:val="0"/>
      <w:marTop w:val="0"/>
      <w:marBottom w:val="0"/>
      <w:divBdr>
        <w:top w:val="none" w:sz="0" w:space="0" w:color="auto"/>
        <w:left w:val="none" w:sz="0" w:space="0" w:color="auto"/>
        <w:bottom w:val="none" w:sz="0" w:space="0" w:color="auto"/>
        <w:right w:val="none" w:sz="0" w:space="0" w:color="auto"/>
      </w:divBdr>
    </w:div>
    <w:div w:id="464353778">
      <w:bodyDiv w:val="1"/>
      <w:marLeft w:val="0"/>
      <w:marRight w:val="0"/>
      <w:marTop w:val="0"/>
      <w:marBottom w:val="0"/>
      <w:divBdr>
        <w:top w:val="none" w:sz="0" w:space="0" w:color="auto"/>
        <w:left w:val="none" w:sz="0" w:space="0" w:color="auto"/>
        <w:bottom w:val="none" w:sz="0" w:space="0" w:color="auto"/>
        <w:right w:val="none" w:sz="0" w:space="0" w:color="auto"/>
      </w:divBdr>
    </w:div>
    <w:div w:id="561598085">
      <w:bodyDiv w:val="1"/>
      <w:marLeft w:val="0"/>
      <w:marRight w:val="0"/>
      <w:marTop w:val="0"/>
      <w:marBottom w:val="0"/>
      <w:divBdr>
        <w:top w:val="none" w:sz="0" w:space="0" w:color="auto"/>
        <w:left w:val="none" w:sz="0" w:space="0" w:color="auto"/>
        <w:bottom w:val="none" w:sz="0" w:space="0" w:color="auto"/>
        <w:right w:val="none" w:sz="0" w:space="0" w:color="auto"/>
      </w:divBdr>
    </w:div>
    <w:div w:id="751589559">
      <w:bodyDiv w:val="1"/>
      <w:marLeft w:val="0"/>
      <w:marRight w:val="0"/>
      <w:marTop w:val="0"/>
      <w:marBottom w:val="0"/>
      <w:divBdr>
        <w:top w:val="none" w:sz="0" w:space="0" w:color="auto"/>
        <w:left w:val="none" w:sz="0" w:space="0" w:color="auto"/>
        <w:bottom w:val="none" w:sz="0" w:space="0" w:color="auto"/>
        <w:right w:val="none" w:sz="0" w:space="0" w:color="auto"/>
      </w:divBdr>
    </w:div>
    <w:div w:id="824322046">
      <w:bodyDiv w:val="1"/>
      <w:marLeft w:val="0"/>
      <w:marRight w:val="0"/>
      <w:marTop w:val="0"/>
      <w:marBottom w:val="0"/>
      <w:divBdr>
        <w:top w:val="none" w:sz="0" w:space="0" w:color="auto"/>
        <w:left w:val="none" w:sz="0" w:space="0" w:color="auto"/>
        <w:bottom w:val="none" w:sz="0" w:space="0" w:color="auto"/>
        <w:right w:val="none" w:sz="0" w:space="0" w:color="auto"/>
      </w:divBdr>
    </w:div>
    <w:div w:id="1203863502">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migracija.lrv.lt/lt/paslaugos/elektronines-paslaugos/prasymu-formos/prasymas-leisti-pakeisti-darbdavi-arba-darbo-funkcija-pas-ta-pati-darbdav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3141</Words>
  <Characters>1791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2019-02-20T12:47:00Z</cp:lastPrinted>
  <dcterms:created xsi:type="dcterms:W3CDTF">2020-03-31T11:57:00Z</dcterms:created>
  <dcterms:modified xsi:type="dcterms:W3CDTF">2023-02-02T11:26:00Z</dcterms:modified>
</cp:coreProperties>
</file>